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6D" w:rsidRPr="00CA616D" w:rsidRDefault="00CA616D" w:rsidP="00CA616D">
      <w:pPr>
        <w:jc w:val="center"/>
        <w:rPr>
          <w:b/>
          <w:bCs/>
          <w:sz w:val="40"/>
          <w:szCs w:val="40"/>
        </w:rPr>
      </w:pPr>
      <w:r w:rsidRPr="00CA616D">
        <w:rPr>
          <w:b/>
          <w:bCs/>
          <w:sz w:val="40"/>
          <w:szCs w:val="40"/>
        </w:rPr>
        <w:t>Specializációválasztás tájékoztató</w:t>
      </w:r>
    </w:p>
    <w:p w:rsidR="00CA616D" w:rsidRDefault="00DE6F88" w:rsidP="00CA616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2019</w:t>
      </w:r>
    </w:p>
    <w:p w:rsidR="003E20F5" w:rsidRPr="003E20F5" w:rsidRDefault="003E20F5" w:rsidP="00CA616D">
      <w:pPr>
        <w:jc w:val="center"/>
        <w:rPr>
          <w:sz w:val="40"/>
          <w:szCs w:val="40"/>
        </w:rPr>
      </w:pPr>
    </w:p>
    <w:p w:rsidR="00CA616D" w:rsidRPr="00CA616D" w:rsidRDefault="00DE6F88" w:rsidP="00CA616D">
      <w:pPr>
        <w:pStyle w:val="Cmsor1"/>
      </w:pPr>
      <w:r>
        <w:t>Általános érvényű információk</w:t>
      </w:r>
    </w:p>
    <w:p w:rsidR="00CA616D" w:rsidRPr="00CA616D" w:rsidRDefault="00CA616D" w:rsidP="00CA616D"/>
    <w:p w:rsidR="00CA616D" w:rsidRPr="00CA616D" w:rsidRDefault="00DE6F88" w:rsidP="00CA616D">
      <w:r>
        <w:t>Ez a tájékoztató 2019 tavaszi félévet követő speci</w:t>
      </w:r>
      <w:r w:rsidR="00A11488">
        <w:t>a</w:t>
      </w:r>
      <w:r>
        <w:t>lizációválasztásra vonatkozik</w:t>
      </w:r>
      <w:r w:rsidR="00A11488">
        <w:t>, és kizárólag az adott</w:t>
      </w:r>
      <w:r>
        <w:t xml:space="preserve"> évre érvényes</w:t>
      </w:r>
      <w:r w:rsidR="00A11488">
        <w:t>. A tájékoztató alapja</w:t>
      </w:r>
      <w:r>
        <w:t xml:space="preserve"> a</w:t>
      </w:r>
      <w:r w:rsidR="00A11488" w:rsidRPr="00A11488">
        <w:t>z Építészmérnöki Kar Építészmérnöki Osztatlan Mesterképzési Szak</w:t>
      </w:r>
      <w:r w:rsidR="00A11488">
        <w:t>on</w:t>
      </w:r>
      <w:r w:rsidR="00A11488" w:rsidRPr="00A11488">
        <w:t xml:space="preserve"> működő specializációkról és a specializációválasztás rendjéről</w:t>
      </w:r>
      <w:r w:rsidR="00A11488" w:rsidRPr="00CA616D">
        <w:t xml:space="preserve"> </w:t>
      </w:r>
      <w:r w:rsidR="00CA616D" w:rsidRPr="00CA616D">
        <w:t>szóló 1/2019-es Dékáni Utasítás</w:t>
      </w:r>
      <w:r w:rsidR="006C6578">
        <w:t xml:space="preserve"> (</w:t>
      </w:r>
      <w:hyperlink r:id="rId5" w:history="1">
        <w:r w:rsidR="006615E4" w:rsidRPr="006615E4">
          <w:rPr>
            <w:rStyle w:val="Hiperhivatkozs"/>
            <w:sz w:val="22"/>
            <w:szCs w:val="22"/>
          </w:rPr>
          <w:t>https://www.epitesz.bme.hu/files/doc/epk_oszt_specval_du_20190104.pdf</w:t>
        </w:r>
      </w:hyperlink>
      <w:r w:rsidR="006C6578">
        <w:t>)</w:t>
      </w:r>
      <w:r w:rsidR="00A11488">
        <w:t>.</w:t>
      </w:r>
    </w:p>
    <w:p w:rsidR="00CA616D" w:rsidRPr="00CA616D" w:rsidRDefault="00CA616D" w:rsidP="00CA616D"/>
    <w:p w:rsidR="00CA616D" w:rsidRPr="00CA616D" w:rsidRDefault="00CA616D" w:rsidP="00CA616D">
      <w:r w:rsidRPr="00CA616D">
        <w:t>Az osztatlan képzésén 2019 tavaszi félévet követő specializációválasztási eljárásában az alábbi két specializáció indul:</w:t>
      </w:r>
    </w:p>
    <w:p w:rsidR="00CA616D" w:rsidRPr="00CA616D" w:rsidRDefault="00CA616D" w:rsidP="00CA616D"/>
    <w:p w:rsidR="00CA616D" w:rsidRPr="00CA616D" w:rsidRDefault="00CA616D" w:rsidP="006615E4">
      <w:pPr>
        <w:pStyle w:val="Listaszerbekezds"/>
        <w:numPr>
          <w:ilvl w:val="0"/>
          <w:numId w:val="18"/>
        </w:numPr>
        <w:ind w:left="1134" w:hanging="567"/>
      </w:pPr>
      <w:r w:rsidRPr="00CA616D">
        <w:t>Tervezői specializáció</w:t>
      </w:r>
    </w:p>
    <w:p w:rsidR="00CA616D" w:rsidRPr="00CA616D" w:rsidRDefault="00CA616D" w:rsidP="006615E4">
      <w:pPr>
        <w:pStyle w:val="Listaszerbekezds"/>
        <w:numPr>
          <w:ilvl w:val="0"/>
          <w:numId w:val="18"/>
        </w:numPr>
        <w:ind w:left="1134" w:hanging="567"/>
      </w:pPr>
      <w:r w:rsidRPr="00CA616D">
        <w:t>Műszaki specializáció</w:t>
      </w:r>
    </w:p>
    <w:p w:rsidR="00CA616D" w:rsidRPr="00CA616D" w:rsidRDefault="00CA616D" w:rsidP="006615E4">
      <w:pPr>
        <w:ind w:left="1134" w:hanging="567"/>
      </w:pPr>
    </w:p>
    <w:p w:rsidR="00CA616D" w:rsidRPr="00CA616D" w:rsidRDefault="00CA616D" w:rsidP="00CA616D">
      <w:pPr>
        <w:pStyle w:val="Cmsor1"/>
        <w:numPr>
          <w:ilvl w:val="0"/>
          <w:numId w:val="1"/>
        </w:numPr>
        <w:ind w:left="426" w:hanging="426"/>
      </w:pPr>
      <w:r w:rsidRPr="00CA616D">
        <w:t>Az egyes specializációk során megszerezheto</w:t>
      </w:r>
      <w:r w:rsidRPr="00CA616D">
        <w:rPr>
          <w:rFonts w:cs="Arial"/>
        </w:rPr>
        <w:t>̋</w:t>
      </w:r>
      <w:r w:rsidRPr="00CA616D">
        <w:t xml:space="preserve"> speciális szaktudás és a specializációk bemutatása</w:t>
      </w:r>
    </w:p>
    <w:p w:rsidR="00CA616D" w:rsidRPr="00CA616D" w:rsidRDefault="00CA616D" w:rsidP="00CA616D">
      <w:pPr>
        <w:pStyle w:val="Cmsor1"/>
        <w:rPr>
          <w:szCs w:val="28"/>
        </w:rPr>
      </w:pPr>
    </w:p>
    <w:p w:rsidR="00CA616D" w:rsidRPr="00CA616D" w:rsidRDefault="00CA616D" w:rsidP="00CA616D">
      <w:pPr>
        <w:numPr>
          <w:ilvl w:val="1"/>
          <w:numId w:val="1"/>
        </w:numPr>
        <w:ind w:hanging="1080"/>
        <w:rPr>
          <w:b/>
          <w:bCs/>
          <w:sz w:val="28"/>
          <w:szCs w:val="28"/>
        </w:rPr>
      </w:pPr>
      <w:r w:rsidRPr="00CA616D">
        <w:rPr>
          <w:b/>
          <w:bCs/>
          <w:sz w:val="28"/>
          <w:szCs w:val="28"/>
        </w:rPr>
        <w:t>Tervezői specializáció</w:t>
      </w:r>
    </w:p>
    <w:p w:rsidR="00CA616D" w:rsidRPr="00CA616D" w:rsidRDefault="00CA616D" w:rsidP="00CA616D"/>
    <w:p w:rsidR="00CA616D" w:rsidRDefault="00CA616D" w:rsidP="00CA616D">
      <w:pPr>
        <w:pStyle w:val="Listaszerbekezds"/>
        <w:numPr>
          <w:ilvl w:val="2"/>
          <w:numId w:val="1"/>
        </w:numPr>
        <w:ind w:left="567" w:hanging="567"/>
        <w:rPr>
          <w:rStyle w:val="munkatarsak-linkek"/>
          <w:szCs w:val="24"/>
        </w:rPr>
      </w:pPr>
      <w:r w:rsidRPr="00CA616D">
        <w:rPr>
          <w:rFonts w:ascii="Calibri" w:hAnsi="Calibri"/>
        </w:rPr>
        <w:t xml:space="preserve">Specializációfelelős: </w:t>
      </w:r>
      <w:r w:rsidRPr="00CA616D">
        <w:rPr>
          <w:rFonts w:ascii="Calibri" w:hAnsi="Calibri"/>
          <w:szCs w:val="24"/>
        </w:rPr>
        <w:t>Balázs Mihály</w:t>
      </w:r>
      <w:r w:rsidR="00A11488">
        <w:rPr>
          <w:rFonts w:ascii="Calibri" w:hAnsi="Calibri"/>
          <w:szCs w:val="24"/>
        </w:rPr>
        <w:t xml:space="preserve"> DLA, egyetemi tanár</w:t>
      </w:r>
      <w:r w:rsidRPr="00CA616D">
        <w:rPr>
          <w:rFonts w:ascii="Calibri" w:hAnsi="Calibri"/>
          <w:szCs w:val="24"/>
        </w:rPr>
        <w:t xml:space="preserve">; </w:t>
      </w:r>
      <w:hyperlink r:id="rId6" w:history="1">
        <w:r w:rsidR="00422C49" w:rsidRPr="00485FBB">
          <w:rPr>
            <w:rStyle w:val="Hiperhivatkozs"/>
            <w:szCs w:val="24"/>
          </w:rPr>
          <w:t>balazs.m@kozep.bme.hu</w:t>
        </w:r>
      </w:hyperlink>
    </w:p>
    <w:p w:rsidR="00422C49" w:rsidRPr="00422C49" w:rsidRDefault="00422C49" w:rsidP="00422C49">
      <w:pPr>
        <w:ind w:left="567" w:hanging="567"/>
      </w:pPr>
    </w:p>
    <w:p w:rsidR="00CA616D" w:rsidRPr="00CA616D" w:rsidRDefault="00CA616D" w:rsidP="00CA616D">
      <w:pPr>
        <w:pStyle w:val="Listaszerbekezds"/>
        <w:numPr>
          <w:ilvl w:val="2"/>
          <w:numId w:val="1"/>
        </w:numPr>
        <w:ind w:left="567" w:hanging="567"/>
      </w:pPr>
      <w:r w:rsidRPr="00CA616D">
        <w:t>Résztvevő tanszékek és a hozzárendelt hallgatói létszám az első (őszi) szemeszterben:</w:t>
      </w:r>
    </w:p>
    <w:p w:rsidR="00CA616D" w:rsidRPr="00CA616D" w:rsidRDefault="00CA616D" w:rsidP="006615E4">
      <w:pPr>
        <w:pStyle w:val="Listaszerbekezds"/>
        <w:numPr>
          <w:ilvl w:val="0"/>
          <w:numId w:val="16"/>
        </w:numPr>
        <w:ind w:left="1134" w:hanging="567"/>
      </w:pPr>
      <w:r w:rsidRPr="00CA616D">
        <w:t>Ipari és Mezőgazdasági Épülettervezési Tanszék</w:t>
      </w:r>
    </w:p>
    <w:p w:rsidR="00CA616D" w:rsidRPr="00CA616D" w:rsidRDefault="00CA616D" w:rsidP="006615E4">
      <w:pPr>
        <w:pStyle w:val="Listaszerbekezds"/>
        <w:numPr>
          <w:ilvl w:val="0"/>
          <w:numId w:val="16"/>
        </w:numPr>
        <w:ind w:left="1134" w:hanging="567"/>
      </w:pPr>
      <w:r w:rsidRPr="00CA616D">
        <w:t xml:space="preserve">Középülettervezési Tanszék </w:t>
      </w:r>
    </w:p>
    <w:p w:rsidR="00CA616D" w:rsidRPr="00CA616D" w:rsidRDefault="00CA616D" w:rsidP="006615E4">
      <w:pPr>
        <w:pStyle w:val="Listaszerbekezds"/>
        <w:numPr>
          <w:ilvl w:val="0"/>
          <w:numId w:val="16"/>
        </w:numPr>
        <w:ind w:left="1134" w:hanging="567"/>
      </w:pPr>
      <w:r w:rsidRPr="00CA616D">
        <w:t>Lakóépülettervezési Tanszék</w:t>
      </w:r>
    </w:p>
    <w:p w:rsidR="00CA616D" w:rsidRPr="00CA616D" w:rsidRDefault="00CA616D" w:rsidP="006615E4">
      <w:pPr>
        <w:pStyle w:val="Listaszerbekezds"/>
        <w:numPr>
          <w:ilvl w:val="0"/>
          <w:numId w:val="16"/>
        </w:numPr>
        <w:ind w:left="1134" w:hanging="567"/>
      </w:pPr>
      <w:r w:rsidRPr="00CA616D">
        <w:t>Urbanisztika Tanszék</w:t>
      </w:r>
    </w:p>
    <w:p w:rsidR="00CA616D" w:rsidRPr="00CA616D" w:rsidRDefault="00CA616D" w:rsidP="00A11488">
      <w:pPr>
        <w:ind w:left="567"/>
      </w:pPr>
      <w:r w:rsidRPr="00CA616D">
        <w:t>a specializációra felvett hallgatók 21-21 %-a</w:t>
      </w:r>
    </w:p>
    <w:p w:rsidR="00CA616D" w:rsidRPr="00CA616D" w:rsidRDefault="00CA616D" w:rsidP="006615E4">
      <w:pPr>
        <w:pStyle w:val="Listaszerbekezds"/>
        <w:numPr>
          <w:ilvl w:val="2"/>
          <w:numId w:val="17"/>
        </w:numPr>
        <w:ind w:left="1134" w:hanging="567"/>
      </w:pPr>
      <w:r w:rsidRPr="00CA616D">
        <w:t>Rajzi és Form</w:t>
      </w:r>
      <w:r w:rsidR="006615E4">
        <w:t>a</w:t>
      </w:r>
      <w:r w:rsidRPr="00CA616D">
        <w:t>ismereti Tanszék</w:t>
      </w:r>
    </w:p>
    <w:p w:rsidR="00CA616D" w:rsidRPr="00CA616D" w:rsidRDefault="00CA616D" w:rsidP="006615E4">
      <w:pPr>
        <w:pStyle w:val="Listaszerbekezds"/>
        <w:numPr>
          <w:ilvl w:val="2"/>
          <w:numId w:val="17"/>
        </w:numPr>
        <w:ind w:left="1134" w:hanging="567"/>
      </w:pPr>
      <w:r w:rsidRPr="00CA616D">
        <w:t>Építészettörténeti Tanszék</w:t>
      </w:r>
    </w:p>
    <w:p w:rsidR="00CA616D" w:rsidRPr="00CA616D" w:rsidRDefault="00CA616D" w:rsidP="00A11488">
      <w:pPr>
        <w:ind w:left="567"/>
      </w:pPr>
      <w:r w:rsidRPr="00CA616D">
        <w:t>a specializációra felvett hallgatók 8-8 %-a.</w:t>
      </w:r>
    </w:p>
    <w:p w:rsidR="00CA616D" w:rsidRPr="00CA616D" w:rsidRDefault="00CA616D" w:rsidP="00422C49">
      <w:pPr>
        <w:ind w:left="567" w:hanging="567"/>
      </w:pPr>
    </w:p>
    <w:p w:rsidR="00CA616D" w:rsidRPr="00CA616D" w:rsidRDefault="00CA616D" w:rsidP="00872570">
      <w:r w:rsidRPr="00CA616D">
        <w:t>A specializáció</w:t>
      </w:r>
      <w:r w:rsidR="00F620CE">
        <w:t xml:space="preserve"> féléveiben </w:t>
      </w:r>
      <w:r w:rsidR="00085377">
        <w:t>a tervezési tárgyak esetén</w:t>
      </w:r>
      <w:r w:rsidRPr="00CA616D">
        <w:t xml:space="preserve"> (TT2-TT3, komplex és diplomatervezés) a ta</w:t>
      </w:r>
      <w:r>
        <w:t>n</w:t>
      </w:r>
      <w:r w:rsidRPr="00CA616D">
        <w:t>sz</w:t>
      </w:r>
      <w:r>
        <w:t>é</w:t>
      </w:r>
      <w:r w:rsidRPr="00CA616D">
        <w:t>kv</w:t>
      </w:r>
      <w:r>
        <w:t>á</w:t>
      </w:r>
      <w:r w:rsidRPr="00CA616D">
        <w:t>laszt</w:t>
      </w:r>
      <w:r>
        <w:t>á</w:t>
      </w:r>
      <w:r w:rsidRPr="00CA616D">
        <w:t>s a hallgatók számára szabaddá válik</w:t>
      </w:r>
      <w:r w:rsidR="00085377">
        <w:t>. A tanszékek a tanszékekre való jelentkezésnél egyedi rangsort alkalmazhatnak.</w:t>
      </w:r>
    </w:p>
    <w:p w:rsidR="00CA616D" w:rsidRPr="00CA616D" w:rsidRDefault="00CA616D" w:rsidP="00422C49">
      <w:pPr>
        <w:ind w:left="567" w:hanging="567"/>
      </w:pPr>
    </w:p>
    <w:p w:rsidR="00CA616D" w:rsidRPr="00CA616D" w:rsidRDefault="00CA616D" w:rsidP="00422C49">
      <w:pPr>
        <w:pStyle w:val="Listaszerbekezds"/>
        <w:numPr>
          <w:ilvl w:val="2"/>
          <w:numId w:val="1"/>
        </w:numPr>
        <w:ind w:left="567" w:hanging="567"/>
      </w:pPr>
      <w:r w:rsidRPr="00CA616D">
        <w:t>Megszerezhet</w:t>
      </w:r>
      <w:r>
        <w:t>ő</w:t>
      </w:r>
      <w:r w:rsidRPr="00CA616D">
        <w:t xml:space="preserve"> speci</w:t>
      </w:r>
      <w:r>
        <w:t>á</w:t>
      </w:r>
      <w:r w:rsidRPr="00CA616D">
        <w:t>lis szaktud</w:t>
      </w:r>
      <w:r>
        <w:t>á</w:t>
      </w:r>
      <w:r w:rsidRPr="00CA616D">
        <w:t>s:</w:t>
      </w:r>
    </w:p>
    <w:p w:rsidR="00CA616D" w:rsidRPr="00CA616D" w:rsidRDefault="00CA616D" w:rsidP="00872570">
      <w:r w:rsidRPr="00CA616D">
        <w:t xml:space="preserve">A tervezői specializáció a résztvevő tanszékek által művelt tudomány- illetve éptőművészeti területekhez kötődik. Ennek megfelelően négy területen nyújt sajátos ismereteket: </w:t>
      </w:r>
    </w:p>
    <w:p w:rsidR="00CA616D" w:rsidRPr="00CA616D" w:rsidRDefault="00CA616D" w:rsidP="006615E4">
      <w:pPr>
        <w:pStyle w:val="Listaszerbekezds"/>
        <w:numPr>
          <w:ilvl w:val="3"/>
          <w:numId w:val="15"/>
        </w:numPr>
        <w:ind w:left="1134" w:hanging="425"/>
      </w:pPr>
      <w:r w:rsidRPr="00CA616D">
        <w:t>építészeti tervezés</w:t>
      </w:r>
    </w:p>
    <w:p w:rsidR="00CA616D" w:rsidRPr="00CA616D" w:rsidRDefault="00CA616D" w:rsidP="006615E4">
      <w:pPr>
        <w:pStyle w:val="Listaszerbekezds"/>
        <w:numPr>
          <w:ilvl w:val="3"/>
          <w:numId w:val="15"/>
        </w:numPr>
        <w:ind w:left="1134" w:hanging="425"/>
      </w:pPr>
      <w:r w:rsidRPr="00CA616D">
        <w:t>urbanisztika</w:t>
      </w:r>
    </w:p>
    <w:p w:rsidR="00CA616D" w:rsidRPr="00CA616D" w:rsidRDefault="00CA616D" w:rsidP="006615E4">
      <w:pPr>
        <w:pStyle w:val="Listaszerbekezds"/>
        <w:numPr>
          <w:ilvl w:val="3"/>
          <w:numId w:val="15"/>
        </w:numPr>
        <w:ind w:left="1134" w:hanging="425"/>
      </w:pPr>
      <w:r w:rsidRPr="00CA616D">
        <w:t>építészettörténet és műemlékvédelem</w:t>
      </w:r>
    </w:p>
    <w:p w:rsidR="00CA616D" w:rsidRPr="00CA616D" w:rsidRDefault="00CA616D" w:rsidP="006615E4">
      <w:pPr>
        <w:pStyle w:val="Listaszerbekezds"/>
        <w:numPr>
          <w:ilvl w:val="3"/>
          <w:numId w:val="15"/>
        </w:numPr>
        <w:ind w:left="1134" w:hanging="425"/>
      </w:pPr>
      <w:r w:rsidRPr="00CA616D">
        <w:t>rajz- és formaismeret</w:t>
      </w:r>
    </w:p>
    <w:p w:rsidR="00CA616D" w:rsidRDefault="00CA616D" w:rsidP="00872570">
      <w:r w:rsidRPr="00CA616D">
        <w:lastRenderedPageBreak/>
        <w:t>A speciális tudományterületi</w:t>
      </w:r>
      <w:r>
        <w:t>,</w:t>
      </w:r>
      <w:r w:rsidRPr="00CA616D">
        <w:t xml:space="preserve"> illetve építőművészeti ismeretek valamennyi területen a tervezési tárgyakba integrálva jelennek meg, vagyis a működés alapja a tervezés. Fontos hangsúlyozni, hogy a tanszékek a speciális tudás megosztása mellett mindenkor a komplexitásra, mint az építészmérnöki gondolkodás alapkövetelményére törekszenek. Az egyes tanszékek sajátosságai (szemléletmódjukon túl) a tervezési helysz</w:t>
      </w:r>
      <w:r>
        <w:t>í</w:t>
      </w:r>
      <w:r w:rsidRPr="00CA616D">
        <w:t>nekben és programokban nyilvánulnak meg, a tervezési tárgyakra is vonatkozó kari tantárgyi követelmények betartása mellett.</w:t>
      </w:r>
    </w:p>
    <w:p w:rsidR="006615E4" w:rsidRDefault="006615E4" w:rsidP="00422C49">
      <w:pPr>
        <w:ind w:left="567" w:hanging="567"/>
      </w:pPr>
    </w:p>
    <w:p w:rsidR="006615E4" w:rsidRPr="00CA616D" w:rsidRDefault="006615E4" w:rsidP="00422C49">
      <w:pPr>
        <w:ind w:left="567" w:hanging="567"/>
      </w:pPr>
    </w:p>
    <w:p w:rsidR="00CA616D" w:rsidRPr="006615E4" w:rsidRDefault="00CA616D" w:rsidP="006615E4">
      <w:pPr>
        <w:pStyle w:val="Listaszerbekezds"/>
        <w:numPr>
          <w:ilvl w:val="1"/>
          <w:numId w:val="1"/>
        </w:numPr>
        <w:ind w:left="567" w:hanging="567"/>
        <w:rPr>
          <w:b/>
          <w:sz w:val="28"/>
          <w:szCs w:val="28"/>
        </w:rPr>
      </w:pPr>
      <w:r w:rsidRPr="006615E4">
        <w:rPr>
          <w:b/>
          <w:sz w:val="28"/>
          <w:szCs w:val="28"/>
        </w:rPr>
        <w:t xml:space="preserve">Szerkezeti specializáció </w:t>
      </w:r>
    </w:p>
    <w:p w:rsidR="00CA616D" w:rsidRPr="00422C49" w:rsidRDefault="00CA616D" w:rsidP="00CA616D">
      <w:pPr>
        <w:ind w:left="567" w:hanging="567"/>
        <w:rPr>
          <w:b/>
        </w:rPr>
      </w:pPr>
    </w:p>
    <w:p w:rsidR="00CA616D" w:rsidRPr="00422C49" w:rsidRDefault="00CA616D" w:rsidP="006E4E93">
      <w:pPr>
        <w:pStyle w:val="Listaszerbekezds"/>
        <w:numPr>
          <w:ilvl w:val="2"/>
          <w:numId w:val="1"/>
        </w:numPr>
        <w:ind w:left="567" w:hanging="567"/>
        <w:rPr>
          <w:szCs w:val="24"/>
        </w:rPr>
      </w:pPr>
      <w:r w:rsidRPr="00422C49">
        <w:rPr>
          <w:szCs w:val="24"/>
        </w:rPr>
        <w:t>Specializációfelelős: Dr. Sajtos István</w:t>
      </w:r>
      <w:r w:rsidR="00A11488">
        <w:rPr>
          <w:szCs w:val="24"/>
        </w:rPr>
        <w:t xml:space="preserve"> egyetemi docens</w:t>
      </w:r>
      <w:r w:rsidRPr="00422C49">
        <w:rPr>
          <w:szCs w:val="24"/>
        </w:rPr>
        <w:t>; sajtos@szt.bme.hu</w:t>
      </w:r>
    </w:p>
    <w:p w:rsidR="00CA616D" w:rsidRPr="00422C49" w:rsidRDefault="00CA616D" w:rsidP="00711A89"/>
    <w:p w:rsidR="00CA616D" w:rsidRPr="00422C49" w:rsidRDefault="00CA616D" w:rsidP="00422C49">
      <w:pPr>
        <w:pStyle w:val="Listaszerbekezds"/>
        <w:numPr>
          <w:ilvl w:val="2"/>
          <w:numId w:val="1"/>
        </w:numPr>
        <w:ind w:left="567" w:hanging="567"/>
        <w:rPr>
          <w:szCs w:val="24"/>
        </w:rPr>
      </w:pPr>
      <w:r w:rsidRPr="00422C49">
        <w:rPr>
          <w:szCs w:val="24"/>
        </w:rPr>
        <w:t>Résztvevő tanszékek:</w:t>
      </w:r>
    </w:p>
    <w:p w:rsidR="00CA616D" w:rsidRPr="00422C49" w:rsidRDefault="00CA616D" w:rsidP="00CA616D">
      <w:pPr>
        <w:ind w:left="567" w:hanging="567"/>
      </w:pPr>
    </w:p>
    <w:p w:rsidR="00CA616D" w:rsidRPr="00422C49" w:rsidRDefault="00CA616D" w:rsidP="00872570">
      <w:r w:rsidRPr="00422C49">
        <w:t xml:space="preserve">A szerkezeti specializáció hallgatóinak képzésében a kar </w:t>
      </w:r>
      <w:r w:rsidRPr="00422C49">
        <w:rPr>
          <w:i/>
        </w:rPr>
        <w:t>összes</w:t>
      </w:r>
      <w:r w:rsidRPr="00422C49">
        <w:t xml:space="preserve"> tanszéke részt vesz, azonban a specializáción megszerezhető </w:t>
      </w:r>
      <w:r w:rsidRPr="00422C49">
        <w:rPr>
          <w:i/>
        </w:rPr>
        <w:t>többletkompetenciák</w:t>
      </w:r>
      <w:r w:rsidRPr="00422C49">
        <w:t xml:space="preserve"> oktatásában kiemelten hangsúlyos szerepe van az:</w:t>
      </w:r>
    </w:p>
    <w:p w:rsidR="00CA616D" w:rsidRPr="00422C49" w:rsidRDefault="00CA616D" w:rsidP="006615E4">
      <w:pPr>
        <w:pStyle w:val="Listaszerbekezds"/>
        <w:numPr>
          <w:ilvl w:val="0"/>
          <w:numId w:val="14"/>
        </w:numPr>
      </w:pPr>
      <w:r w:rsidRPr="00422C49">
        <w:t>Építéstechnológia és Építésmenedzsment Tanszéknek,</w:t>
      </w:r>
    </w:p>
    <w:p w:rsidR="00CA616D" w:rsidRPr="00422C49" w:rsidRDefault="00CA616D" w:rsidP="006615E4">
      <w:pPr>
        <w:pStyle w:val="Listaszerbekezds"/>
        <w:numPr>
          <w:ilvl w:val="0"/>
          <w:numId w:val="14"/>
        </w:numPr>
      </w:pPr>
      <w:r w:rsidRPr="00422C49">
        <w:t>Épületszerkezettani Tanszéknek,</w:t>
      </w:r>
    </w:p>
    <w:p w:rsidR="00CA616D" w:rsidRPr="00422C49" w:rsidRDefault="00CA616D" w:rsidP="006615E4">
      <w:pPr>
        <w:pStyle w:val="Listaszerbekezds"/>
        <w:numPr>
          <w:ilvl w:val="0"/>
          <w:numId w:val="14"/>
        </w:numPr>
      </w:pPr>
      <w:r w:rsidRPr="00422C49">
        <w:t>Szilárdságtani és Tartószerkezeti Tanszéknek.</w:t>
      </w:r>
    </w:p>
    <w:p w:rsidR="00CA616D" w:rsidRPr="00422C49" w:rsidRDefault="00CA616D" w:rsidP="00CA616D">
      <w:pPr>
        <w:ind w:left="567" w:hanging="567"/>
      </w:pPr>
    </w:p>
    <w:p w:rsidR="00CA616D" w:rsidRPr="00422C49" w:rsidRDefault="00CA616D" w:rsidP="006C6578">
      <w:pPr>
        <w:pStyle w:val="Listaszerbekezds"/>
        <w:numPr>
          <w:ilvl w:val="2"/>
          <w:numId w:val="1"/>
        </w:numPr>
        <w:ind w:left="567" w:hanging="567"/>
      </w:pPr>
      <w:r w:rsidRPr="00422C49">
        <w:t>Megszerezhető speciális szaktudás:</w:t>
      </w:r>
    </w:p>
    <w:p w:rsidR="00CA616D" w:rsidRPr="00422C49" w:rsidRDefault="00CA616D" w:rsidP="006C6578">
      <w:pPr>
        <w:ind w:left="567" w:hanging="567"/>
      </w:pPr>
    </w:p>
    <w:p w:rsidR="00CA616D" w:rsidRPr="00422C49" w:rsidRDefault="00CA616D" w:rsidP="00872570">
      <w:r w:rsidRPr="00422C49">
        <w:t xml:space="preserve">A szerkezeti specializáció lehetővé teszi az </w:t>
      </w:r>
      <w:r w:rsidRPr="00422C49">
        <w:rPr>
          <w:i/>
        </w:rPr>
        <w:t>építőművész és építészmérnök szakma</w:t>
      </w:r>
      <w:r w:rsidRPr="00422C49">
        <w:t xml:space="preserve"> műveléséhez szükséges </w:t>
      </w:r>
      <w:r w:rsidRPr="00422C49">
        <w:rPr>
          <w:i/>
        </w:rPr>
        <w:t>műszaki, mérnöki, gazdasági ismeretek elmélyítését, kiszélesítését</w:t>
      </w:r>
      <w:r w:rsidRPr="00422C49">
        <w:t>, annak érdekében, hogy:</w:t>
      </w:r>
    </w:p>
    <w:p w:rsidR="00CA616D" w:rsidRPr="00422C49" w:rsidRDefault="00CA616D" w:rsidP="00711A89">
      <w:pPr>
        <w:pStyle w:val="Listaszerbekezds"/>
        <w:numPr>
          <w:ilvl w:val="0"/>
          <w:numId w:val="23"/>
        </w:numPr>
        <w:ind w:left="1134" w:hanging="283"/>
      </w:pPr>
      <w:r w:rsidRPr="00422C49">
        <w:t>kreatív és kompromisszumok nélküli legyen az építészeti tervezés,</w:t>
      </w:r>
    </w:p>
    <w:p w:rsidR="00CA616D" w:rsidRPr="00422C49" w:rsidRDefault="00CA616D" w:rsidP="00711A89">
      <w:pPr>
        <w:pStyle w:val="Listaszerbekezds"/>
        <w:numPr>
          <w:ilvl w:val="0"/>
          <w:numId w:val="23"/>
        </w:numPr>
        <w:ind w:left="1134" w:hanging="283"/>
      </w:pPr>
      <w:r w:rsidRPr="00422C49">
        <w:t>hatékony és gazdaságos legyen az épületszerkezeti és épületenergetikai tervezés,</w:t>
      </w:r>
    </w:p>
    <w:p w:rsidR="00CA616D" w:rsidRPr="00422C49" w:rsidRDefault="00CA616D" w:rsidP="00711A89">
      <w:pPr>
        <w:pStyle w:val="Listaszerbekezds"/>
        <w:numPr>
          <w:ilvl w:val="0"/>
          <w:numId w:val="23"/>
        </w:numPr>
        <w:ind w:left="1134" w:hanging="283"/>
      </w:pPr>
      <w:r w:rsidRPr="00422C49">
        <w:t>merész és technológia orientált legyen az épületek tartószerkezete,</w:t>
      </w:r>
    </w:p>
    <w:p w:rsidR="00CA616D" w:rsidRPr="00422C49" w:rsidRDefault="00CA616D" w:rsidP="00711A89">
      <w:pPr>
        <w:pStyle w:val="Listaszerbekezds"/>
        <w:numPr>
          <w:ilvl w:val="0"/>
          <w:numId w:val="23"/>
        </w:numPr>
        <w:ind w:left="1134" w:hanging="283"/>
      </w:pPr>
      <w:r w:rsidRPr="00422C49">
        <w:t>gazdaságilag és műszakilag megalapozott legyen a tervezés és építés egész folyamata.</w:t>
      </w:r>
    </w:p>
    <w:p w:rsidR="00CA616D" w:rsidRPr="00422C49" w:rsidRDefault="00CA616D" w:rsidP="00711A89">
      <w:pPr>
        <w:ind w:left="1134" w:hanging="283"/>
      </w:pPr>
    </w:p>
    <w:p w:rsidR="00CA616D" w:rsidRPr="00422C49" w:rsidRDefault="00CA616D" w:rsidP="00872570">
      <w:r w:rsidRPr="00422C49">
        <w:t>A képzésben tudatosítható az építészmérnök szakma komplexitásának fontossága, és a műszaki, mérnöki ismeretek lehetőségeket növelő és kreativitást elősegítő volta az építészeti tervezésben.</w:t>
      </w:r>
    </w:p>
    <w:p w:rsidR="00CA616D" w:rsidRPr="00422C49" w:rsidRDefault="00CA616D" w:rsidP="006C6578">
      <w:pPr>
        <w:ind w:left="567" w:hanging="567"/>
      </w:pPr>
    </w:p>
    <w:p w:rsidR="00CA616D" w:rsidRPr="00422C49" w:rsidRDefault="00CA616D" w:rsidP="00872570">
      <w:r w:rsidRPr="00422C49">
        <w:t>Az egyes műszaki, mérnöki területeken megszerzett többlettudás lehetővé teszi speciális szakterületeken, szakmákban történő elhelyezkedést, életpálya választást is.</w:t>
      </w:r>
    </w:p>
    <w:p w:rsidR="00CA616D" w:rsidRPr="00422C49" w:rsidRDefault="00CA616D" w:rsidP="006C6578">
      <w:pPr>
        <w:ind w:left="567" w:hanging="567"/>
      </w:pPr>
    </w:p>
    <w:p w:rsidR="00CA616D" w:rsidRPr="00422C49" w:rsidRDefault="00CA616D" w:rsidP="00872570">
      <w:r w:rsidRPr="00422C49">
        <w:t xml:space="preserve">A megszerzett többlettudást mind a Magyar Építész Kamara, mind a Magyar Mérnöki Kamara elismeri azzal, hogy </w:t>
      </w:r>
      <w:r w:rsidR="00BF2E95">
        <w:t>az</w:t>
      </w:r>
      <w:r w:rsidRPr="00422C49">
        <w:t xml:space="preserve"> építész</w:t>
      </w:r>
      <w:r w:rsidR="00C84463">
        <w:t>eti</w:t>
      </w:r>
      <w:r w:rsidRPr="00422C49">
        <w:t>, tartószerkezet</w:t>
      </w:r>
      <w:r w:rsidR="00C84463">
        <w:t>i</w:t>
      </w:r>
      <w:r w:rsidRPr="00422C49">
        <w:t>,</w:t>
      </w:r>
      <w:r w:rsidR="00A11488">
        <w:t xml:space="preserve"> </w:t>
      </w:r>
      <w:r w:rsidR="00C84463">
        <w:t xml:space="preserve">épületszerkezeti, </w:t>
      </w:r>
      <w:r w:rsidR="00A11488">
        <w:t>műszaki ellenőr</w:t>
      </w:r>
      <w:r w:rsidR="00BF2E95">
        <w:t>i</w:t>
      </w:r>
      <w:r w:rsidR="00A11488">
        <w:t>, felelős műszaki vezet</w:t>
      </w:r>
      <w:r w:rsidR="00372D1C">
        <w:t>ői</w:t>
      </w:r>
      <w:r w:rsidR="00A11488">
        <w:t>,</w:t>
      </w:r>
      <w:r w:rsidRPr="00422C49">
        <w:t xml:space="preserve"> </w:t>
      </w:r>
      <w:r w:rsidR="00872570">
        <w:t>szakmaterületeken</w:t>
      </w:r>
      <w:r w:rsidRPr="00422C49">
        <w:t xml:space="preserve"> </w:t>
      </w:r>
      <w:r w:rsidR="00C84463">
        <w:t xml:space="preserve">a tervezési, szakmagyakorlási, </w:t>
      </w:r>
      <w:r w:rsidRPr="00422C49">
        <w:t>szakértés</w:t>
      </w:r>
      <w:r w:rsidR="00BF2E95">
        <w:t>i jogosultság</w:t>
      </w:r>
      <w:r w:rsidR="00C84463">
        <w:t>ok</w:t>
      </w:r>
      <w:r w:rsidR="00BF2E95">
        <w:t xml:space="preserve"> megszerzésénél figyelembe veszi</w:t>
      </w:r>
      <w:r w:rsidRPr="00422C49">
        <w:t>.</w:t>
      </w:r>
    </w:p>
    <w:p w:rsidR="00CA616D" w:rsidRPr="00422C49" w:rsidRDefault="00CA616D" w:rsidP="006C6578">
      <w:pPr>
        <w:ind w:left="567" w:hanging="567"/>
      </w:pPr>
    </w:p>
    <w:p w:rsidR="00CA616D" w:rsidRDefault="00CA616D" w:rsidP="00872570">
      <w:r w:rsidRPr="00422C49">
        <w:t>A szerkezeti specializációt azoknak a hallgatóknak ajánljuk, akiket érdekel és izgat az, hogy minként lehet az építészet „határait tágítani”, megváltoztatni</w:t>
      </w:r>
      <w:r w:rsidR="00872570">
        <w:t xml:space="preserve">, valamint </w:t>
      </w:r>
      <w:r w:rsidR="00A11488">
        <w:t xml:space="preserve">kimondottan </w:t>
      </w:r>
      <w:r w:rsidR="00872570" w:rsidRPr="00422C49">
        <w:t xml:space="preserve">javasoljuk </w:t>
      </w:r>
      <w:r w:rsidRPr="00422C49">
        <w:t>azoknak a hallgatóknak, akik az egyes műszaki, mérnöki területeken szeretnék a tudásukat elmélyíteni, hogy alkotó módon tudjanak majd együtt</w:t>
      </w:r>
      <w:r w:rsidR="00872570">
        <w:t xml:space="preserve"> </w:t>
      </w:r>
      <w:r w:rsidRPr="00422C49">
        <w:t>dolgozni az építészeti tervezést választó kollégáikkal</w:t>
      </w:r>
      <w:r w:rsidR="00872570">
        <w:t>.</w:t>
      </w:r>
    </w:p>
    <w:p w:rsidR="00085377" w:rsidRPr="00422C49" w:rsidRDefault="00085377" w:rsidP="00872570"/>
    <w:p w:rsidR="006C6578" w:rsidRPr="00422C49" w:rsidRDefault="006C6578" w:rsidP="006C6578">
      <w:pPr>
        <w:pStyle w:val="Cmsor1"/>
        <w:ind w:left="567" w:hanging="567"/>
        <w:rPr>
          <w:sz w:val="24"/>
          <w:szCs w:val="24"/>
        </w:rPr>
      </w:pPr>
      <w:r>
        <w:lastRenderedPageBreak/>
        <w:t>2. A specializáciválasztási eljárás menete</w:t>
      </w:r>
    </w:p>
    <w:p w:rsidR="00CA616D" w:rsidRPr="00422C49" w:rsidRDefault="00CA616D" w:rsidP="00CA616D">
      <w:pPr>
        <w:ind w:left="567" w:hanging="567"/>
        <w:rPr>
          <w:rFonts w:ascii="Calibri" w:hAnsi="Calibri"/>
        </w:rPr>
      </w:pPr>
    </w:p>
    <w:p w:rsidR="00CA616D" w:rsidRPr="006C6578" w:rsidRDefault="006C6578" w:rsidP="00CA616D">
      <w:pPr>
        <w:ind w:left="567" w:hanging="567"/>
        <w:rPr>
          <w:rFonts w:ascii="Calibri" w:hAnsi="Calibri"/>
          <w:b/>
          <w:bCs/>
          <w:sz w:val="28"/>
          <w:szCs w:val="28"/>
        </w:rPr>
      </w:pPr>
      <w:r w:rsidRPr="006C6578">
        <w:rPr>
          <w:rFonts w:ascii="Calibri" w:hAnsi="Calibri"/>
          <w:b/>
          <w:bCs/>
          <w:sz w:val="28"/>
          <w:szCs w:val="28"/>
        </w:rPr>
        <w:t xml:space="preserve">2.1. </w:t>
      </w:r>
      <w:r>
        <w:rPr>
          <w:rFonts w:ascii="Calibri" w:hAnsi="Calibri"/>
          <w:b/>
          <w:bCs/>
          <w:sz w:val="28"/>
          <w:szCs w:val="28"/>
        </w:rPr>
        <w:t>Az eljárás ütemezése</w:t>
      </w:r>
    </w:p>
    <w:p w:rsidR="00CA616D" w:rsidRDefault="00CA616D" w:rsidP="00CA616D">
      <w:pPr>
        <w:ind w:left="567" w:hanging="567"/>
        <w:rPr>
          <w:rFonts w:ascii="Calibri" w:hAnsi="Calibri"/>
        </w:rPr>
      </w:pPr>
    </w:p>
    <w:p w:rsidR="00711A89" w:rsidRDefault="00711A89" w:rsidP="00CA616D">
      <w:pPr>
        <w:ind w:left="567" w:hanging="567"/>
        <w:rPr>
          <w:rFonts w:ascii="Calibri" w:hAnsi="Calibri"/>
        </w:rPr>
      </w:pPr>
      <w:r>
        <w:rPr>
          <w:rFonts w:ascii="Calibri" w:hAnsi="Calibri"/>
        </w:rPr>
        <w:t>2.1.1. A</w:t>
      </w:r>
      <w:r w:rsidR="00872570">
        <w:rPr>
          <w:rFonts w:ascii="Calibri" w:hAnsi="Calibri"/>
        </w:rPr>
        <w:t xml:space="preserve"> specializációválasztási</w:t>
      </w:r>
      <w:r>
        <w:rPr>
          <w:rFonts w:ascii="Calibri" w:hAnsi="Calibri"/>
        </w:rPr>
        <w:t xml:space="preserve"> eljárás 2019-ben az alábbi ütemezéssel fog lezajlani:</w:t>
      </w:r>
    </w:p>
    <w:p w:rsidR="00711A89" w:rsidRPr="00422C49" w:rsidRDefault="00711A89" w:rsidP="00CA616D">
      <w:pPr>
        <w:ind w:left="567" w:hanging="567"/>
        <w:rPr>
          <w:rFonts w:ascii="Calibri" w:hAnsi="Calibri"/>
        </w:rPr>
      </w:pPr>
    </w:p>
    <w:p w:rsidR="00CA616D" w:rsidRPr="00422C49" w:rsidRDefault="00CA616D" w:rsidP="0037164A">
      <w:pPr>
        <w:tabs>
          <w:tab w:val="left" w:pos="4536"/>
        </w:tabs>
        <w:ind w:left="567" w:hanging="567"/>
        <w:rPr>
          <w:rFonts w:ascii="Calibri" w:hAnsi="Calibri"/>
        </w:rPr>
      </w:pPr>
      <w:r w:rsidRPr="00422C49">
        <w:rPr>
          <w:rFonts w:ascii="Calibri" w:hAnsi="Calibri"/>
        </w:rPr>
        <w:t>Meghirdetési időszak a vizsgaidőszak</w:t>
      </w:r>
      <w:r w:rsidR="006615E4">
        <w:rPr>
          <w:rFonts w:ascii="Calibri" w:hAnsi="Calibri"/>
        </w:rPr>
        <w:t>:</w:t>
      </w:r>
      <w:r w:rsidR="006615E4">
        <w:rPr>
          <w:rFonts w:ascii="Calibri" w:hAnsi="Calibri"/>
        </w:rPr>
        <w:tab/>
      </w:r>
      <w:r w:rsidRPr="00422C49">
        <w:rPr>
          <w:rFonts w:ascii="Calibri" w:hAnsi="Calibri"/>
        </w:rPr>
        <w:t>május 27</w:t>
      </w:r>
      <w:r w:rsidR="0004497E">
        <w:rPr>
          <w:rFonts w:ascii="Calibri" w:hAnsi="Calibri"/>
        </w:rPr>
        <w:t xml:space="preserve">. </w:t>
      </w:r>
      <w:r w:rsidRPr="00422C49">
        <w:rPr>
          <w:rFonts w:ascii="Calibri" w:hAnsi="Calibri"/>
        </w:rPr>
        <w:t>-</w:t>
      </w:r>
      <w:r w:rsidR="0004497E">
        <w:rPr>
          <w:rFonts w:ascii="Calibri" w:hAnsi="Calibri"/>
        </w:rPr>
        <w:t xml:space="preserve"> </w:t>
      </w:r>
      <w:r w:rsidRPr="00422C49">
        <w:rPr>
          <w:rFonts w:ascii="Calibri" w:hAnsi="Calibri"/>
        </w:rPr>
        <w:t>június 24.</w:t>
      </w:r>
    </w:p>
    <w:p w:rsidR="00CA616D" w:rsidRPr="00422C49" w:rsidRDefault="00CA616D" w:rsidP="0037164A">
      <w:pPr>
        <w:tabs>
          <w:tab w:val="left" w:pos="4253"/>
          <w:tab w:val="left" w:pos="4536"/>
        </w:tabs>
        <w:ind w:left="567" w:hanging="567"/>
        <w:rPr>
          <w:rFonts w:ascii="Calibri" w:hAnsi="Calibri"/>
        </w:rPr>
      </w:pPr>
      <w:r w:rsidRPr="00422C49">
        <w:rPr>
          <w:rFonts w:ascii="Calibri" w:hAnsi="Calibri"/>
        </w:rPr>
        <w:t>Tájékoztató közzététel</w:t>
      </w:r>
      <w:r w:rsidR="00872570">
        <w:rPr>
          <w:rFonts w:ascii="Calibri" w:hAnsi="Calibri"/>
        </w:rPr>
        <w:t>e</w:t>
      </w:r>
      <w:r w:rsidRPr="00422C49">
        <w:rPr>
          <w:rFonts w:ascii="Calibri" w:hAnsi="Calibri"/>
        </w:rPr>
        <w:t>:</w:t>
      </w:r>
      <w:r w:rsidR="006615E4">
        <w:rPr>
          <w:rFonts w:ascii="Calibri" w:hAnsi="Calibri"/>
        </w:rPr>
        <w:tab/>
      </w:r>
      <w:r w:rsidR="006615E4">
        <w:rPr>
          <w:rFonts w:ascii="Calibri" w:hAnsi="Calibri"/>
        </w:rPr>
        <w:tab/>
      </w:r>
      <w:r w:rsidRPr="00422C49">
        <w:rPr>
          <w:rFonts w:ascii="Calibri" w:hAnsi="Calibri"/>
        </w:rPr>
        <w:t>máj</w:t>
      </w:r>
      <w:r w:rsidR="00711A89">
        <w:rPr>
          <w:rFonts w:ascii="Calibri" w:hAnsi="Calibri"/>
        </w:rPr>
        <w:t>us</w:t>
      </w:r>
      <w:r w:rsidRPr="00422C49">
        <w:rPr>
          <w:rFonts w:ascii="Calibri" w:hAnsi="Calibri"/>
        </w:rPr>
        <w:t xml:space="preserve"> 27.</w:t>
      </w:r>
    </w:p>
    <w:p w:rsidR="00CA616D" w:rsidRPr="00693540" w:rsidRDefault="00CA616D" w:rsidP="0037164A">
      <w:pPr>
        <w:tabs>
          <w:tab w:val="left" w:pos="4536"/>
        </w:tabs>
        <w:ind w:left="567" w:hanging="567"/>
        <w:rPr>
          <w:rFonts w:ascii="Calibri" w:hAnsi="Calibri"/>
        </w:rPr>
      </w:pPr>
      <w:r w:rsidRPr="00422C49">
        <w:rPr>
          <w:rFonts w:ascii="Calibri" w:hAnsi="Calibri"/>
        </w:rPr>
        <w:t>Specializáció felelősök előadása:</w:t>
      </w:r>
      <w:r w:rsidR="006615E4">
        <w:rPr>
          <w:rFonts w:ascii="Calibri" w:hAnsi="Calibri"/>
        </w:rPr>
        <w:tab/>
        <w:t>június</w:t>
      </w:r>
      <w:r w:rsidRPr="00422C49">
        <w:rPr>
          <w:rFonts w:ascii="Calibri" w:hAnsi="Calibri"/>
        </w:rPr>
        <w:t xml:space="preserve"> </w:t>
      </w:r>
      <w:r w:rsidR="006615E4">
        <w:rPr>
          <w:rFonts w:ascii="Calibri" w:hAnsi="Calibri"/>
        </w:rPr>
        <w:t>5</w:t>
      </w:r>
      <w:r w:rsidRPr="00422C49">
        <w:rPr>
          <w:rFonts w:ascii="Calibri" w:hAnsi="Calibri"/>
        </w:rPr>
        <w:t>.</w:t>
      </w:r>
      <w:r w:rsidR="0004497E">
        <w:rPr>
          <w:rFonts w:ascii="Calibri" w:hAnsi="Calibri"/>
        </w:rPr>
        <w:t xml:space="preserve"> - </w:t>
      </w:r>
      <w:r w:rsidR="006615E4">
        <w:rPr>
          <w:rFonts w:ascii="Calibri" w:hAnsi="Calibri"/>
        </w:rPr>
        <w:t>16:30</w:t>
      </w:r>
      <w:r w:rsidR="00872570">
        <w:rPr>
          <w:rFonts w:ascii="Calibri" w:hAnsi="Calibri"/>
        </w:rPr>
        <w:t xml:space="preserve"> </w:t>
      </w:r>
      <w:r w:rsidR="00AE78C0" w:rsidRPr="00693540">
        <w:rPr>
          <w:rFonts w:ascii="Calibri" w:hAnsi="Calibri"/>
        </w:rPr>
        <w:t>- H</w:t>
      </w:r>
      <w:r w:rsidR="00872570" w:rsidRPr="00693540">
        <w:rPr>
          <w:rFonts w:ascii="Calibri" w:hAnsi="Calibri"/>
        </w:rPr>
        <w:t>elyszín:</w:t>
      </w:r>
      <w:r w:rsidR="00693540" w:rsidRPr="00693540">
        <w:rPr>
          <w:rFonts w:ascii="Calibri" w:hAnsi="Calibri"/>
        </w:rPr>
        <w:t xml:space="preserve"> K275</w:t>
      </w:r>
    </w:p>
    <w:p w:rsidR="00CA616D" w:rsidRPr="00422C49" w:rsidRDefault="00CA616D" w:rsidP="0037164A">
      <w:pPr>
        <w:tabs>
          <w:tab w:val="left" w:pos="4536"/>
        </w:tabs>
        <w:ind w:left="567" w:hanging="567"/>
        <w:rPr>
          <w:rFonts w:ascii="Calibri" w:hAnsi="Calibri"/>
        </w:rPr>
      </w:pPr>
      <w:r w:rsidRPr="00422C49">
        <w:rPr>
          <w:rFonts w:ascii="Calibri" w:hAnsi="Calibri"/>
        </w:rPr>
        <w:t>Jelentkezési időszak:</w:t>
      </w:r>
      <w:r w:rsidR="0037164A">
        <w:rPr>
          <w:rFonts w:ascii="Calibri" w:hAnsi="Calibri"/>
        </w:rPr>
        <w:tab/>
      </w:r>
      <w:r w:rsidRPr="00422C49">
        <w:rPr>
          <w:rFonts w:ascii="Calibri" w:hAnsi="Calibri"/>
        </w:rPr>
        <w:t>június 2</w:t>
      </w:r>
      <w:r w:rsidR="0004497E">
        <w:rPr>
          <w:rFonts w:ascii="Calibri" w:hAnsi="Calibri"/>
        </w:rPr>
        <w:t xml:space="preserve">5. </w:t>
      </w:r>
      <w:r w:rsidRPr="00422C49">
        <w:rPr>
          <w:rFonts w:ascii="Calibri" w:hAnsi="Calibri"/>
        </w:rPr>
        <w:t>-</w:t>
      </w:r>
      <w:r w:rsidR="0004497E">
        <w:rPr>
          <w:rFonts w:ascii="Calibri" w:hAnsi="Calibri"/>
        </w:rPr>
        <w:t xml:space="preserve"> </w:t>
      </w:r>
      <w:r w:rsidRPr="00422C49">
        <w:rPr>
          <w:rFonts w:ascii="Calibri" w:hAnsi="Calibri"/>
        </w:rPr>
        <w:t>július 5.</w:t>
      </w:r>
    </w:p>
    <w:p w:rsidR="00CA616D" w:rsidRPr="00422C49" w:rsidRDefault="00CA616D" w:rsidP="0037164A">
      <w:pPr>
        <w:tabs>
          <w:tab w:val="left" w:pos="4536"/>
        </w:tabs>
        <w:ind w:left="567" w:hanging="567"/>
        <w:rPr>
          <w:rFonts w:ascii="Calibri" w:hAnsi="Calibri"/>
        </w:rPr>
      </w:pPr>
      <w:r w:rsidRPr="00422C49">
        <w:rPr>
          <w:rFonts w:ascii="Calibri" w:hAnsi="Calibri"/>
        </w:rPr>
        <w:t>Döntéshozatali időszak:</w:t>
      </w:r>
      <w:r w:rsidR="0037164A">
        <w:rPr>
          <w:rFonts w:ascii="Calibri" w:hAnsi="Calibri"/>
        </w:rPr>
        <w:tab/>
      </w:r>
      <w:r w:rsidRPr="00422C49">
        <w:rPr>
          <w:rFonts w:ascii="Calibri" w:hAnsi="Calibri"/>
        </w:rPr>
        <w:t xml:space="preserve">július </w:t>
      </w:r>
      <w:r w:rsidR="0004497E">
        <w:rPr>
          <w:rFonts w:ascii="Calibri" w:hAnsi="Calibri"/>
        </w:rPr>
        <w:t xml:space="preserve">6. </w:t>
      </w:r>
      <w:r w:rsidRPr="00422C49">
        <w:rPr>
          <w:rFonts w:ascii="Calibri" w:hAnsi="Calibri"/>
        </w:rPr>
        <w:t>-</w:t>
      </w:r>
      <w:r w:rsidR="0004497E">
        <w:rPr>
          <w:rFonts w:ascii="Calibri" w:hAnsi="Calibri"/>
        </w:rPr>
        <w:t xml:space="preserve"> j</w:t>
      </w:r>
      <w:r w:rsidRPr="00422C49">
        <w:rPr>
          <w:rFonts w:ascii="Calibri" w:hAnsi="Calibri"/>
        </w:rPr>
        <w:t xml:space="preserve">úlius 31. </w:t>
      </w:r>
    </w:p>
    <w:p w:rsidR="00CA616D" w:rsidRPr="00CA616D" w:rsidRDefault="00CA616D" w:rsidP="00CA616D">
      <w:pPr>
        <w:ind w:left="567" w:hanging="567"/>
        <w:rPr>
          <w:rFonts w:ascii="Calibri" w:hAnsi="Calibri"/>
          <w:sz w:val="28"/>
          <w:szCs w:val="28"/>
        </w:rPr>
      </w:pPr>
    </w:p>
    <w:p w:rsidR="006C6578" w:rsidRDefault="006C6578" w:rsidP="00CA616D">
      <w:pPr>
        <w:ind w:left="567" w:hanging="567"/>
        <w:rPr>
          <w:rFonts w:ascii="Calibri" w:hAnsi="Calibri"/>
          <w:b/>
          <w:bCs/>
          <w:sz w:val="28"/>
          <w:szCs w:val="28"/>
        </w:rPr>
      </w:pPr>
      <w:r w:rsidRPr="006C6578">
        <w:rPr>
          <w:rFonts w:ascii="Calibri" w:hAnsi="Calibri"/>
          <w:b/>
          <w:bCs/>
          <w:sz w:val="28"/>
          <w:szCs w:val="28"/>
        </w:rPr>
        <w:t xml:space="preserve">2.2. </w:t>
      </w:r>
      <w:r w:rsidR="00CA616D" w:rsidRPr="006C6578">
        <w:rPr>
          <w:rFonts w:ascii="Calibri" w:hAnsi="Calibri"/>
          <w:b/>
          <w:bCs/>
          <w:sz w:val="28"/>
          <w:szCs w:val="28"/>
        </w:rPr>
        <w:t>A special</w:t>
      </w:r>
      <w:r>
        <w:rPr>
          <w:rFonts w:ascii="Calibri" w:hAnsi="Calibri"/>
          <w:b/>
          <w:bCs/>
          <w:sz w:val="28"/>
          <w:szCs w:val="28"/>
        </w:rPr>
        <w:t>i</w:t>
      </w:r>
      <w:r w:rsidR="00CA616D" w:rsidRPr="006C6578">
        <w:rPr>
          <w:rFonts w:ascii="Calibri" w:hAnsi="Calibri"/>
          <w:b/>
          <w:bCs/>
          <w:sz w:val="28"/>
          <w:szCs w:val="28"/>
        </w:rPr>
        <w:t>z</w:t>
      </w:r>
      <w:r>
        <w:rPr>
          <w:rFonts w:ascii="Calibri" w:hAnsi="Calibri"/>
          <w:b/>
          <w:bCs/>
          <w:sz w:val="28"/>
          <w:szCs w:val="28"/>
        </w:rPr>
        <w:t>á</w:t>
      </w:r>
      <w:r w:rsidR="00CA616D" w:rsidRPr="006C6578">
        <w:rPr>
          <w:rFonts w:ascii="Calibri" w:hAnsi="Calibri"/>
          <w:b/>
          <w:bCs/>
          <w:sz w:val="28"/>
          <w:szCs w:val="28"/>
        </w:rPr>
        <w:t>ci</w:t>
      </w:r>
      <w:r>
        <w:rPr>
          <w:rFonts w:ascii="Calibri" w:hAnsi="Calibri"/>
          <w:b/>
          <w:bCs/>
          <w:sz w:val="28"/>
          <w:szCs w:val="28"/>
        </w:rPr>
        <w:t>ó</w:t>
      </w:r>
      <w:r w:rsidRPr="006C6578">
        <w:rPr>
          <w:rFonts w:ascii="Calibri" w:hAnsi="Calibri"/>
          <w:b/>
          <w:bCs/>
          <w:sz w:val="28"/>
          <w:szCs w:val="28"/>
        </w:rPr>
        <w:t>v</w:t>
      </w:r>
      <w:r>
        <w:rPr>
          <w:rFonts w:ascii="Calibri" w:hAnsi="Calibri"/>
          <w:b/>
          <w:bCs/>
          <w:sz w:val="28"/>
          <w:szCs w:val="28"/>
        </w:rPr>
        <w:t>á</w:t>
      </w:r>
      <w:r w:rsidRPr="006C6578">
        <w:rPr>
          <w:rFonts w:ascii="Calibri" w:hAnsi="Calibri"/>
          <w:b/>
          <w:bCs/>
          <w:sz w:val="28"/>
          <w:szCs w:val="28"/>
        </w:rPr>
        <w:t>laszt</w:t>
      </w:r>
      <w:r>
        <w:rPr>
          <w:rFonts w:ascii="Calibri" w:hAnsi="Calibri"/>
          <w:b/>
          <w:bCs/>
          <w:sz w:val="28"/>
          <w:szCs w:val="28"/>
        </w:rPr>
        <w:t>á</w:t>
      </w:r>
      <w:r w:rsidRPr="006C6578">
        <w:rPr>
          <w:rFonts w:ascii="Calibri" w:hAnsi="Calibri"/>
          <w:b/>
          <w:bCs/>
          <w:sz w:val="28"/>
          <w:szCs w:val="28"/>
        </w:rPr>
        <w:t>shoz</w:t>
      </w:r>
      <w:r w:rsidR="00CA616D" w:rsidRPr="006C6578">
        <w:rPr>
          <w:rFonts w:ascii="Calibri" w:hAnsi="Calibri"/>
          <w:b/>
          <w:bCs/>
          <w:sz w:val="28"/>
          <w:szCs w:val="28"/>
        </w:rPr>
        <w:t xml:space="preserve"> tartoz</w:t>
      </w:r>
      <w:r>
        <w:rPr>
          <w:rFonts w:ascii="Calibri" w:hAnsi="Calibri"/>
          <w:b/>
          <w:bCs/>
          <w:sz w:val="28"/>
          <w:szCs w:val="28"/>
        </w:rPr>
        <w:t>ó</w:t>
      </w:r>
      <w:r w:rsidR="00CA616D" w:rsidRPr="006C6578">
        <w:rPr>
          <w:rFonts w:ascii="Calibri" w:hAnsi="Calibri"/>
          <w:b/>
          <w:bCs/>
          <w:sz w:val="28"/>
          <w:szCs w:val="28"/>
        </w:rPr>
        <w:t xml:space="preserve"> </w:t>
      </w:r>
      <w:r w:rsidRPr="006C6578">
        <w:rPr>
          <w:rFonts w:ascii="Calibri" w:hAnsi="Calibri"/>
          <w:b/>
          <w:bCs/>
          <w:sz w:val="28"/>
          <w:szCs w:val="28"/>
        </w:rPr>
        <w:t xml:space="preserve">általános </w:t>
      </w:r>
      <w:r>
        <w:rPr>
          <w:rFonts w:ascii="Calibri" w:hAnsi="Calibri"/>
          <w:b/>
          <w:bCs/>
          <w:sz w:val="28"/>
          <w:szCs w:val="28"/>
        </w:rPr>
        <w:t xml:space="preserve">és speciális bemeneti </w:t>
      </w:r>
      <w:r w:rsidR="00CA616D" w:rsidRPr="006C6578">
        <w:rPr>
          <w:rFonts w:ascii="Calibri" w:hAnsi="Calibri"/>
          <w:b/>
          <w:bCs/>
          <w:sz w:val="28"/>
          <w:szCs w:val="28"/>
        </w:rPr>
        <w:t>k</w:t>
      </w:r>
      <w:r>
        <w:rPr>
          <w:rFonts w:ascii="Calibri" w:hAnsi="Calibri"/>
          <w:b/>
          <w:bCs/>
          <w:sz w:val="28"/>
          <w:szCs w:val="28"/>
        </w:rPr>
        <w:t>ö</w:t>
      </w:r>
      <w:r w:rsidR="00CA616D" w:rsidRPr="006C6578">
        <w:rPr>
          <w:rFonts w:ascii="Calibri" w:hAnsi="Calibri"/>
          <w:b/>
          <w:bCs/>
          <w:sz w:val="28"/>
          <w:szCs w:val="28"/>
        </w:rPr>
        <w:t>vetelm</w:t>
      </w:r>
      <w:r>
        <w:rPr>
          <w:rFonts w:ascii="Calibri" w:hAnsi="Calibri"/>
          <w:b/>
          <w:bCs/>
          <w:sz w:val="28"/>
          <w:szCs w:val="28"/>
        </w:rPr>
        <w:t>é</w:t>
      </w:r>
      <w:r w:rsidR="00CA616D" w:rsidRPr="006C6578">
        <w:rPr>
          <w:rFonts w:ascii="Calibri" w:hAnsi="Calibri"/>
          <w:b/>
          <w:bCs/>
          <w:sz w:val="28"/>
          <w:szCs w:val="28"/>
        </w:rPr>
        <w:t>nyek</w:t>
      </w:r>
    </w:p>
    <w:p w:rsidR="00FC1126" w:rsidRDefault="00FC1126" w:rsidP="006C6578">
      <w:pPr>
        <w:ind w:left="567" w:hanging="567"/>
        <w:rPr>
          <w:rFonts w:ascii="Calibri" w:hAnsi="Calibri"/>
        </w:rPr>
      </w:pPr>
    </w:p>
    <w:p w:rsidR="00B1104D" w:rsidRDefault="0037164A" w:rsidP="006C6578">
      <w:pPr>
        <w:ind w:left="567" w:hanging="567"/>
        <w:rPr>
          <w:rFonts w:ascii="Calibri" w:hAnsi="Calibri"/>
        </w:rPr>
      </w:pPr>
      <w:r>
        <w:rPr>
          <w:rFonts w:ascii="Calibri" w:hAnsi="Calibri"/>
        </w:rPr>
        <w:t xml:space="preserve">2.2.1. </w:t>
      </w:r>
      <w:r w:rsidR="00B1104D">
        <w:rPr>
          <w:rFonts w:ascii="Calibri" w:hAnsi="Calibri"/>
        </w:rPr>
        <w:t xml:space="preserve">A specializáció bemeneti </w:t>
      </w:r>
      <w:r>
        <w:rPr>
          <w:rFonts w:ascii="Calibri" w:hAnsi="Calibri"/>
        </w:rPr>
        <w:t>követelményei</w:t>
      </w:r>
    </w:p>
    <w:p w:rsidR="00B1104D" w:rsidRDefault="00B1104D" w:rsidP="006C6578">
      <w:pPr>
        <w:ind w:left="567" w:hanging="567"/>
        <w:rPr>
          <w:rFonts w:ascii="Calibri" w:hAnsi="Calibri"/>
        </w:rPr>
      </w:pPr>
    </w:p>
    <w:p w:rsidR="00711A89" w:rsidRDefault="00711A89" w:rsidP="00872570">
      <w:pPr>
        <w:rPr>
          <w:rFonts w:ascii="Calibri" w:hAnsi="Calibri"/>
        </w:rPr>
      </w:pPr>
      <w:r>
        <w:rPr>
          <w:rFonts w:ascii="Calibri" w:hAnsi="Calibri"/>
        </w:rPr>
        <w:t>A beneti követelmények általános (mindenkire vonatozó) és speciális, csak az adott specializáció bemenete esetén alkalmazandó követelményekből állnak</w:t>
      </w:r>
      <w:r w:rsidR="00A11488">
        <w:rPr>
          <w:rFonts w:ascii="Calibri" w:hAnsi="Calibri"/>
        </w:rPr>
        <w:t>.</w:t>
      </w:r>
    </w:p>
    <w:p w:rsidR="00711A89" w:rsidRDefault="00711A89" w:rsidP="00872570">
      <w:pPr>
        <w:rPr>
          <w:rFonts w:ascii="Calibri" w:hAnsi="Calibri"/>
        </w:rPr>
      </w:pPr>
    </w:p>
    <w:p w:rsidR="0037164A" w:rsidRDefault="00711A89" w:rsidP="006C6578">
      <w:pPr>
        <w:ind w:left="567" w:hanging="567"/>
        <w:rPr>
          <w:rFonts w:ascii="Calibri" w:hAnsi="Calibri"/>
        </w:rPr>
      </w:pPr>
      <w:r>
        <w:rPr>
          <w:rFonts w:ascii="Calibri" w:hAnsi="Calibri"/>
        </w:rPr>
        <w:t xml:space="preserve">2.2.1.1. </w:t>
      </w:r>
      <w:r w:rsidR="0037164A">
        <w:rPr>
          <w:rFonts w:ascii="Calibri" w:hAnsi="Calibri"/>
        </w:rPr>
        <w:t>Az általános bemeneti követelmények:</w:t>
      </w:r>
    </w:p>
    <w:p w:rsidR="00872570" w:rsidRPr="006C6578" w:rsidRDefault="00872570" w:rsidP="006C6578">
      <w:pPr>
        <w:ind w:left="567" w:hanging="567"/>
        <w:rPr>
          <w:rFonts w:ascii="Calibri" w:hAnsi="Calibri"/>
        </w:rPr>
      </w:pPr>
    </w:p>
    <w:p w:rsidR="0037164A" w:rsidRDefault="0037164A" w:rsidP="0037164A">
      <w:pPr>
        <w:pStyle w:val="Listaszerbekezds"/>
        <w:numPr>
          <w:ilvl w:val="0"/>
          <w:numId w:val="21"/>
        </w:numPr>
      </w:pPr>
      <w:r w:rsidRPr="0037164A">
        <w:t>az adott képzésen a jogviszony létesítésének idejétől függetlenül</w:t>
      </w:r>
      <w:r w:rsidR="00872570">
        <w:t>,</w:t>
      </w:r>
    </w:p>
    <w:p w:rsidR="0037164A" w:rsidRDefault="0037164A" w:rsidP="0037164A">
      <w:pPr>
        <w:pStyle w:val="Listaszerbekezds"/>
        <w:numPr>
          <w:ilvl w:val="1"/>
          <w:numId w:val="22"/>
        </w:numPr>
      </w:pPr>
      <w:r w:rsidRPr="00AE78C0">
        <w:rPr>
          <w:b/>
          <w:bCs/>
        </w:rPr>
        <w:t>6 lezárt aktív félév</w:t>
      </w:r>
      <w:r w:rsidR="00711A89" w:rsidRPr="00AE78C0">
        <w:rPr>
          <w:b/>
          <w:bCs/>
        </w:rPr>
        <w:t xml:space="preserve"> </w:t>
      </w:r>
      <w:r w:rsidR="00711A89">
        <w:t>teljesítése</w:t>
      </w:r>
      <w:r w:rsidR="00872570">
        <w:t>,</w:t>
      </w:r>
    </w:p>
    <w:p w:rsidR="00872570" w:rsidRDefault="00872570" w:rsidP="00872570">
      <w:pPr>
        <w:pStyle w:val="Listaszerbekezds"/>
        <w:ind w:left="1440"/>
      </w:pPr>
      <w:r>
        <w:t>vagy</w:t>
      </w:r>
    </w:p>
    <w:p w:rsidR="0037164A" w:rsidRDefault="0037164A" w:rsidP="0037164A">
      <w:pPr>
        <w:pStyle w:val="Listaszerbekezds"/>
        <w:numPr>
          <w:ilvl w:val="1"/>
          <w:numId w:val="22"/>
        </w:numPr>
      </w:pPr>
      <w:r w:rsidRPr="0037164A">
        <w:t xml:space="preserve">a mintatanterv szerint az </w:t>
      </w:r>
      <w:r w:rsidRPr="00AE78C0">
        <w:rPr>
          <w:b/>
          <w:bCs/>
        </w:rPr>
        <w:t>első hat félévre előírt 180 kreditből, legalább 150</w:t>
      </w:r>
      <w:r w:rsidRPr="0037164A">
        <w:t xml:space="preserve"> teljesített kredit</w:t>
      </w:r>
      <w:r w:rsidR="00872570">
        <w:t>,</w:t>
      </w:r>
    </w:p>
    <w:p w:rsidR="0037164A" w:rsidRDefault="0037164A" w:rsidP="0037164A">
      <w:pPr>
        <w:pStyle w:val="Listaszerbekezds"/>
        <w:numPr>
          <w:ilvl w:val="0"/>
          <w:numId w:val="21"/>
        </w:numPr>
      </w:pPr>
      <w:r w:rsidRPr="0037164A">
        <w:t xml:space="preserve">a mintatanterv szerinti </w:t>
      </w:r>
      <w:r w:rsidRPr="00AE78C0">
        <w:rPr>
          <w:b/>
          <w:bCs/>
        </w:rPr>
        <w:t>első 4 félév kötelező tárgyai</w:t>
      </w:r>
      <w:r w:rsidR="00711A89" w:rsidRPr="00AE78C0">
        <w:rPr>
          <w:b/>
          <w:bCs/>
        </w:rPr>
        <w:t>nak</w:t>
      </w:r>
      <w:r w:rsidRPr="0037164A">
        <w:t xml:space="preserve"> teljesít</w:t>
      </w:r>
      <w:r w:rsidR="00711A89">
        <w:t>ése</w:t>
      </w:r>
      <w:bookmarkStart w:id="0" w:name="_GoBack"/>
      <w:bookmarkEnd w:id="0"/>
      <w:r w:rsidR="00872570">
        <w:t>,</w:t>
      </w:r>
    </w:p>
    <w:p w:rsidR="0037164A" w:rsidRDefault="0037164A" w:rsidP="0037164A">
      <w:pPr>
        <w:pStyle w:val="Listaszerbekezds"/>
        <w:numPr>
          <w:ilvl w:val="0"/>
          <w:numId w:val="21"/>
        </w:numPr>
      </w:pPr>
      <w:r w:rsidRPr="0037164A">
        <w:t xml:space="preserve">legalább az egyik </w:t>
      </w:r>
      <w:r w:rsidRPr="00AE78C0">
        <w:rPr>
          <w:b/>
          <w:bCs/>
        </w:rPr>
        <w:t>specializáció felvételi követelmény</w:t>
      </w:r>
      <w:r w:rsidR="00711A89" w:rsidRPr="00AE78C0">
        <w:rPr>
          <w:b/>
          <w:bCs/>
        </w:rPr>
        <w:t>einek</w:t>
      </w:r>
      <w:r w:rsidRPr="0037164A">
        <w:t xml:space="preserve"> teljesít</w:t>
      </w:r>
      <w:r w:rsidR="00711A89">
        <w:t>ése</w:t>
      </w:r>
      <w:r w:rsidR="00872570">
        <w:t>.</w:t>
      </w:r>
    </w:p>
    <w:p w:rsidR="00A11488" w:rsidRDefault="00A11488" w:rsidP="00A11488">
      <w:pPr>
        <w:pStyle w:val="Listaszerbekezds"/>
      </w:pPr>
    </w:p>
    <w:p w:rsidR="00202633" w:rsidRPr="00202633" w:rsidRDefault="00202633" w:rsidP="00202633">
      <w:r w:rsidRPr="00202633">
        <w:t>Az átállásra való tekintettel 2019-ben a b) pontban meghatározott feltétel kiváltható az a) pont ii) alpontjában meghatározott feltétel teljesítésével.</w:t>
      </w:r>
    </w:p>
    <w:p w:rsidR="00202633" w:rsidRDefault="00202633" w:rsidP="00202633"/>
    <w:p w:rsidR="00711A89" w:rsidRDefault="00711A89" w:rsidP="006C6578">
      <w:pPr>
        <w:ind w:left="567" w:hanging="567"/>
        <w:rPr>
          <w:rFonts w:ascii="Calibri" w:hAnsi="Calibri"/>
        </w:rPr>
      </w:pPr>
      <w:r>
        <w:rPr>
          <w:rFonts w:ascii="Calibri" w:hAnsi="Calibri"/>
        </w:rPr>
        <w:t>2.2.1.2. Speciális bemeneti követelmények:</w:t>
      </w:r>
    </w:p>
    <w:p w:rsidR="00711A89" w:rsidRDefault="00711A89" w:rsidP="006C6578">
      <w:pPr>
        <w:ind w:left="567" w:hanging="567"/>
        <w:rPr>
          <w:rFonts w:ascii="Calibri" w:hAnsi="Calibri"/>
        </w:rPr>
      </w:pPr>
    </w:p>
    <w:p w:rsidR="00711A89" w:rsidRPr="0004497E" w:rsidRDefault="00711A89" w:rsidP="0004497E">
      <w:pPr>
        <w:pStyle w:val="Listaszerbekezds"/>
        <w:numPr>
          <w:ilvl w:val="0"/>
          <w:numId w:val="24"/>
        </w:numPr>
        <w:rPr>
          <w:rFonts w:ascii="Calibri" w:hAnsi="Calibri"/>
        </w:rPr>
      </w:pPr>
      <w:r w:rsidRPr="0004497E">
        <w:rPr>
          <w:rFonts w:ascii="Calibri" w:hAnsi="Calibri"/>
        </w:rPr>
        <w:t>a</w:t>
      </w:r>
      <w:r w:rsidR="0004497E">
        <w:rPr>
          <w:rFonts w:ascii="Calibri" w:hAnsi="Calibri"/>
        </w:rPr>
        <w:t xml:space="preserve"> </w:t>
      </w:r>
      <w:r w:rsidRPr="0004497E">
        <w:rPr>
          <w:rFonts w:ascii="Calibri" w:hAnsi="Calibri"/>
        </w:rPr>
        <w:t>Tervezési Specializáció eset</w:t>
      </w:r>
      <w:r w:rsidR="0004497E">
        <w:rPr>
          <w:rFonts w:ascii="Calibri" w:hAnsi="Calibri"/>
        </w:rPr>
        <w:t>én</w:t>
      </w:r>
      <w:r w:rsidRPr="0004497E">
        <w:rPr>
          <w:rFonts w:ascii="Calibri" w:hAnsi="Calibri"/>
        </w:rPr>
        <w:t xml:space="preserve"> a </w:t>
      </w:r>
      <w:r w:rsidRPr="0004497E">
        <w:rPr>
          <w:rFonts w:ascii="Calibri" w:hAnsi="Calibri"/>
          <w:b/>
          <w:bCs/>
        </w:rPr>
        <w:t>Tervezési Szigorlat</w:t>
      </w:r>
      <w:r w:rsidRPr="0004497E">
        <w:rPr>
          <w:rFonts w:ascii="Calibri" w:hAnsi="Calibri"/>
        </w:rPr>
        <w:t xml:space="preserve"> sikeres teljesítése</w:t>
      </w:r>
    </w:p>
    <w:p w:rsidR="00711A89" w:rsidRPr="0004497E" w:rsidRDefault="00711A89" w:rsidP="0004497E">
      <w:pPr>
        <w:pStyle w:val="Listaszerbekezds"/>
        <w:numPr>
          <w:ilvl w:val="0"/>
          <w:numId w:val="24"/>
        </w:numPr>
        <w:rPr>
          <w:rFonts w:ascii="Calibri" w:hAnsi="Calibri"/>
        </w:rPr>
      </w:pPr>
      <w:r w:rsidRPr="0004497E">
        <w:rPr>
          <w:rFonts w:ascii="Calibri" w:hAnsi="Calibri"/>
        </w:rPr>
        <w:t>a Szerkezeti Specializáció esetén</w:t>
      </w:r>
      <w:r w:rsidR="0004497E" w:rsidRPr="0004497E">
        <w:rPr>
          <w:rFonts w:ascii="Calibri" w:hAnsi="Calibri"/>
        </w:rPr>
        <w:t xml:space="preserve"> </w:t>
      </w:r>
      <w:r w:rsidRPr="0004497E">
        <w:rPr>
          <w:rFonts w:ascii="Calibri" w:hAnsi="Calibri"/>
        </w:rPr>
        <w:t xml:space="preserve">a </w:t>
      </w:r>
      <w:r w:rsidRPr="0004497E">
        <w:rPr>
          <w:rFonts w:ascii="Calibri" w:hAnsi="Calibri"/>
          <w:b/>
          <w:bCs/>
        </w:rPr>
        <w:t xml:space="preserve">Szilárdságtani Alapszigorlat </w:t>
      </w:r>
      <w:r w:rsidRPr="0004497E">
        <w:rPr>
          <w:rFonts w:ascii="Calibri" w:hAnsi="Calibri"/>
        </w:rPr>
        <w:t xml:space="preserve">vagy az </w:t>
      </w:r>
      <w:r w:rsidRPr="0004497E">
        <w:rPr>
          <w:rFonts w:ascii="Calibri" w:hAnsi="Calibri"/>
          <w:b/>
          <w:bCs/>
        </w:rPr>
        <w:t>Épületszerkezettani Alapszigorlat</w:t>
      </w:r>
      <w:r w:rsidRPr="0004497E">
        <w:rPr>
          <w:rFonts w:ascii="Calibri" w:hAnsi="Calibri"/>
        </w:rPr>
        <w:t xml:space="preserve"> sikeres teljesítése</w:t>
      </w:r>
    </w:p>
    <w:p w:rsidR="006C6578" w:rsidRPr="006C6578" w:rsidRDefault="006C6578" w:rsidP="006C6578">
      <w:pPr>
        <w:ind w:left="567" w:hanging="567"/>
        <w:rPr>
          <w:rFonts w:ascii="Calibri" w:hAnsi="Calibri"/>
        </w:rPr>
      </w:pPr>
    </w:p>
    <w:p w:rsidR="006C6578" w:rsidRPr="006C6578" w:rsidRDefault="006C6578" w:rsidP="00AE78C0">
      <w:pPr>
        <w:rPr>
          <w:rFonts w:ascii="Calibri" w:hAnsi="Calibri"/>
        </w:rPr>
      </w:pPr>
      <w:r>
        <w:rPr>
          <w:rFonts w:ascii="Calibri" w:hAnsi="Calibri"/>
        </w:rPr>
        <w:t>Az egyes specializációk</w:t>
      </w:r>
      <w:r w:rsidR="0004497E">
        <w:rPr>
          <w:rFonts w:ascii="Calibri" w:hAnsi="Calibri"/>
        </w:rPr>
        <w:t>hoz</w:t>
      </w:r>
      <w:r>
        <w:rPr>
          <w:rFonts w:ascii="Calibri" w:hAnsi="Calibri"/>
        </w:rPr>
        <w:t xml:space="preserve"> k</w:t>
      </w:r>
      <w:r w:rsidRPr="006C6578">
        <w:rPr>
          <w:rFonts w:ascii="Calibri" w:hAnsi="Calibri"/>
        </w:rPr>
        <w:t>apacitás</w:t>
      </w:r>
      <w:r>
        <w:rPr>
          <w:rFonts w:ascii="Calibri" w:hAnsi="Calibri"/>
        </w:rPr>
        <w:t>szám</w:t>
      </w:r>
      <w:r w:rsidR="0004497E">
        <w:rPr>
          <w:rFonts w:ascii="Calibri" w:hAnsi="Calibri"/>
        </w:rPr>
        <w:t>ok tartoznak. A kapacitásszám</w:t>
      </w:r>
      <w:r>
        <w:rPr>
          <w:rFonts w:ascii="Calibri" w:hAnsi="Calibri"/>
        </w:rPr>
        <w:t xml:space="preserve"> az </w:t>
      </w:r>
      <w:r w:rsidR="0004497E">
        <w:rPr>
          <w:rFonts w:ascii="Calibri" w:hAnsi="Calibri"/>
        </w:rPr>
        <w:t>2019 tavaszi félévet követő eljárás során specializációra</w:t>
      </w:r>
      <w:r>
        <w:rPr>
          <w:rFonts w:ascii="Calibri" w:hAnsi="Calibri"/>
        </w:rPr>
        <w:t xml:space="preserve"> jelentkező</w:t>
      </w:r>
      <w:r w:rsidR="0004497E">
        <w:rPr>
          <w:rFonts w:ascii="Calibri" w:hAnsi="Calibri"/>
        </w:rPr>
        <w:t>, és a bemeneti követelményeket teljesítő</w:t>
      </w:r>
      <w:r>
        <w:rPr>
          <w:rFonts w:ascii="Calibri" w:hAnsi="Calibri"/>
        </w:rPr>
        <w:t xml:space="preserve"> hallgatók számának százalékos arányában a következők</w:t>
      </w:r>
      <w:r w:rsidR="0004497E">
        <w:rPr>
          <w:rFonts w:ascii="Calibri" w:hAnsi="Calibri"/>
        </w:rPr>
        <w:t xml:space="preserve"> szerint alakul</w:t>
      </w:r>
      <w:r w:rsidR="00AE78C0">
        <w:rPr>
          <w:rFonts w:ascii="Calibri" w:hAnsi="Calibri"/>
        </w:rPr>
        <w:t>nak</w:t>
      </w:r>
      <w:r>
        <w:rPr>
          <w:rFonts w:ascii="Calibri" w:hAnsi="Calibri"/>
        </w:rPr>
        <w:t>:</w:t>
      </w:r>
    </w:p>
    <w:p w:rsidR="006C6578" w:rsidRPr="0004497E" w:rsidRDefault="006C6578" w:rsidP="0004497E">
      <w:pPr>
        <w:pStyle w:val="Listaszerbekezds"/>
        <w:numPr>
          <w:ilvl w:val="0"/>
          <w:numId w:val="25"/>
        </w:numPr>
        <w:rPr>
          <w:rFonts w:ascii="Calibri" w:hAnsi="Calibri"/>
        </w:rPr>
      </w:pPr>
      <w:r w:rsidRPr="0004497E">
        <w:rPr>
          <w:rFonts w:ascii="Calibri" w:hAnsi="Calibri"/>
        </w:rPr>
        <w:t xml:space="preserve">Tervezői </w:t>
      </w:r>
      <w:r w:rsidR="005C5D89">
        <w:rPr>
          <w:rFonts w:ascii="Calibri" w:hAnsi="Calibri"/>
        </w:rPr>
        <w:t>S</w:t>
      </w:r>
      <w:r w:rsidRPr="0004497E">
        <w:rPr>
          <w:rFonts w:ascii="Calibri" w:hAnsi="Calibri"/>
        </w:rPr>
        <w:t>pecializáció: 65 %</w:t>
      </w:r>
    </w:p>
    <w:p w:rsidR="006C6578" w:rsidRPr="0004497E" w:rsidRDefault="006C6578" w:rsidP="0004497E">
      <w:pPr>
        <w:pStyle w:val="Listaszerbekezds"/>
        <w:numPr>
          <w:ilvl w:val="0"/>
          <w:numId w:val="25"/>
        </w:numPr>
        <w:rPr>
          <w:rFonts w:ascii="Calibri" w:hAnsi="Calibri"/>
        </w:rPr>
      </w:pPr>
      <w:r w:rsidRPr="0004497E">
        <w:rPr>
          <w:rFonts w:ascii="Calibri" w:hAnsi="Calibri"/>
        </w:rPr>
        <w:t>Szerkezeti</w:t>
      </w:r>
      <w:r w:rsidR="00FE25AC" w:rsidRPr="0004497E">
        <w:rPr>
          <w:rFonts w:ascii="Calibri" w:hAnsi="Calibri"/>
        </w:rPr>
        <w:t xml:space="preserve"> </w:t>
      </w:r>
      <w:r w:rsidR="005C5D89">
        <w:rPr>
          <w:rFonts w:ascii="Calibri" w:hAnsi="Calibri"/>
        </w:rPr>
        <w:t>S</w:t>
      </w:r>
      <w:r w:rsidR="00FE25AC" w:rsidRPr="0004497E">
        <w:rPr>
          <w:rFonts w:ascii="Calibri" w:hAnsi="Calibri"/>
        </w:rPr>
        <w:t>pecializáció</w:t>
      </w:r>
      <w:r w:rsidRPr="0004497E">
        <w:rPr>
          <w:rFonts w:ascii="Calibri" w:hAnsi="Calibri"/>
        </w:rPr>
        <w:t xml:space="preserve">: </w:t>
      </w:r>
      <w:r w:rsidR="00FE25AC" w:rsidRPr="0004497E">
        <w:rPr>
          <w:rFonts w:ascii="Calibri" w:hAnsi="Calibri"/>
        </w:rPr>
        <w:t>35</w:t>
      </w:r>
      <w:r w:rsidRPr="0004497E">
        <w:rPr>
          <w:rFonts w:ascii="Calibri" w:hAnsi="Calibri"/>
        </w:rPr>
        <w:t xml:space="preserve"> %</w:t>
      </w:r>
    </w:p>
    <w:p w:rsidR="006C6578" w:rsidRPr="006C6578" w:rsidRDefault="006C6578" w:rsidP="006C6578">
      <w:pPr>
        <w:ind w:left="567" w:hanging="567"/>
        <w:rPr>
          <w:rFonts w:ascii="Calibri" w:hAnsi="Calibri"/>
        </w:rPr>
      </w:pPr>
    </w:p>
    <w:p w:rsidR="006C6578" w:rsidRDefault="006C6578" w:rsidP="00AE78C0">
      <w:pPr>
        <w:rPr>
          <w:rFonts w:ascii="Calibri" w:hAnsi="Calibri"/>
        </w:rPr>
      </w:pPr>
      <w:r w:rsidRPr="006C6578">
        <w:rPr>
          <w:rFonts w:ascii="Calibri" w:hAnsi="Calibri"/>
        </w:rPr>
        <w:t>Hallgatók</w:t>
      </w:r>
      <w:r w:rsidR="0004497E">
        <w:rPr>
          <w:rFonts w:ascii="Calibri" w:hAnsi="Calibri"/>
        </w:rPr>
        <w:t xml:space="preserve"> specializációkra való bejutása rangsor alapján történik. A</w:t>
      </w:r>
      <w:r w:rsidRPr="006C6578">
        <w:rPr>
          <w:rFonts w:ascii="Calibri" w:hAnsi="Calibri"/>
        </w:rPr>
        <w:t xml:space="preserve"> rangsorolás</w:t>
      </w:r>
      <w:r w:rsidR="0004497E">
        <w:rPr>
          <w:rFonts w:ascii="Calibri" w:hAnsi="Calibri"/>
        </w:rPr>
        <w:t xml:space="preserve"> </w:t>
      </w:r>
      <w:r w:rsidR="00FE25AC">
        <w:rPr>
          <w:rFonts w:ascii="Calibri" w:hAnsi="Calibri"/>
        </w:rPr>
        <w:t>a teljesítményi</w:t>
      </w:r>
      <w:r w:rsidR="00FC1126">
        <w:rPr>
          <w:rFonts w:ascii="Calibri" w:hAnsi="Calibri"/>
        </w:rPr>
        <w:t>n</w:t>
      </w:r>
      <w:r w:rsidR="00FE25AC">
        <w:rPr>
          <w:rFonts w:ascii="Calibri" w:hAnsi="Calibri"/>
        </w:rPr>
        <w:t>dex alapján egységesen történik.</w:t>
      </w:r>
    </w:p>
    <w:p w:rsidR="00BF2E95" w:rsidRPr="006C6578" w:rsidRDefault="00BF2E95" w:rsidP="00AE78C0">
      <w:pPr>
        <w:rPr>
          <w:rFonts w:ascii="Calibri" w:hAnsi="Calibri"/>
        </w:rPr>
      </w:pPr>
    </w:p>
    <w:p w:rsidR="00FC1126" w:rsidRPr="006C6578" w:rsidRDefault="00FC1126" w:rsidP="00FC1126">
      <w:pPr>
        <w:ind w:left="567" w:hanging="567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2.3. </w:t>
      </w:r>
      <w:r w:rsidRPr="00FC1126">
        <w:rPr>
          <w:rFonts w:ascii="Calibri" w:hAnsi="Calibri"/>
          <w:b/>
          <w:bCs/>
          <w:sz w:val="28"/>
          <w:szCs w:val="28"/>
        </w:rPr>
        <w:t>Az alkalmazott teljes</w:t>
      </w:r>
      <w:r>
        <w:rPr>
          <w:rFonts w:ascii="Calibri" w:hAnsi="Calibri"/>
          <w:b/>
          <w:bCs/>
          <w:sz w:val="28"/>
          <w:szCs w:val="28"/>
        </w:rPr>
        <w:t>í</w:t>
      </w:r>
      <w:r w:rsidRPr="00FC1126">
        <w:rPr>
          <w:rFonts w:ascii="Calibri" w:hAnsi="Calibri"/>
          <w:b/>
          <w:bCs/>
          <w:sz w:val="28"/>
          <w:szCs w:val="28"/>
        </w:rPr>
        <w:t>tm</w:t>
      </w:r>
      <w:r>
        <w:rPr>
          <w:rFonts w:ascii="Calibri" w:hAnsi="Calibri"/>
          <w:b/>
          <w:bCs/>
          <w:sz w:val="28"/>
          <w:szCs w:val="28"/>
        </w:rPr>
        <w:t>é</w:t>
      </w:r>
      <w:r w:rsidRPr="00FC1126">
        <w:rPr>
          <w:rFonts w:ascii="Calibri" w:hAnsi="Calibri"/>
          <w:b/>
          <w:bCs/>
          <w:sz w:val="28"/>
          <w:szCs w:val="28"/>
        </w:rPr>
        <w:t>nymutat</w:t>
      </w:r>
      <w:r>
        <w:rPr>
          <w:rFonts w:ascii="Calibri" w:hAnsi="Calibri"/>
          <w:b/>
          <w:bCs/>
          <w:sz w:val="28"/>
          <w:szCs w:val="28"/>
        </w:rPr>
        <w:t>ó</w:t>
      </w:r>
      <w:r w:rsidRPr="00FC1126">
        <w:rPr>
          <w:rFonts w:ascii="Calibri" w:hAnsi="Calibri"/>
          <w:b/>
          <w:bCs/>
          <w:sz w:val="28"/>
          <w:szCs w:val="28"/>
        </w:rPr>
        <w:t xml:space="preserve"> kisz</w:t>
      </w:r>
      <w:r>
        <w:rPr>
          <w:rFonts w:ascii="Calibri" w:hAnsi="Calibri"/>
          <w:b/>
          <w:bCs/>
          <w:sz w:val="28"/>
          <w:szCs w:val="28"/>
        </w:rPr>
        <w:t>á</w:t>
      </w:r>
      <w:r w:rsidRPr="00FC1126">
        <w:rPr>
          <w:rFonts w:ascii="Calibri" w:hAnsi="Calibri"/>
          <w:b/>
          <w:bCs/>
          <w:sz w:val="28"/>
          <w:szCs w:val="28"/>
        </w:rPr>
        <w:t>m</w:t>
      </w:r>
      <w:r>
        <w:rPr>
          <w:rFonts w:ascii="Calibri" w:hAnsi="Calibri"/>
          <w:b/>
          <w:bCs/>
          <w:sz w:val="28"/>
          <w:szCs w:val="28"/>
        </w:rPr>
        <w:t>í</w:t>
      </w:r>
      <w:r w:rsidRPr="00FC1126">
        <w:rPr>
          <w:rFonts w:ascii="Calibri" w:hAnsi="Calibri"/>
          <w:b/>
          <w:bCs/>
          <w:sz w:val="28"/>
          <w:szCs w:val="28"/>
        </w:rPr>
        <w:t>t</w:t>
      </w:r>
      <w:r>
        <w:rPr>
          <w:rFonts w:ascii="Calibri" w:hAnsi="Calibri"/>
          <w:b/>
          <w:bCs/>
          <w:sz w:val="28"/>
          <w:szCs w:val="28"/>
        </w:rPr>
        <w:t>á</w:t>
      </w:r>
      <w:r w:rsidRPr="00FC1126">
        <w:rPr>
          <w:rFonts w:ascii="Calibri" w:hAnsi="Calibri"/>
          <w:b/>
          <w:bCs/>
          <w:sz w:val="28"/>
          <w:szCs w:val="28"/>
        </w:rPr>
        <w:t>s</w:t>
      </w:r>
      <w:r>
        <w:rPr>
          <w:rFonts w:ascii="Calibri" w:hAnsi="Calibri"/>
          <w:b/>
          <w:bCs/>
          <w:sz w:val="28"/>
          <w:szCs w:val="28"/>
        </w:rPr>
        <w:t>á</w:t>
      </w:r>
      <w:r w:rsidRPr="00FC1126">
        <w:rPr>
          <w:rFonts w:ascii="Calibri" w:hAnsi="Calibri"/>
          <w:b/>
          <w:bCs/>
          <w:sz w:val="28"/>
          <w:szCs w:val="28"/>
        </w:rPr>
        <w:t>nak m</w:t>
      </w:r>
      <w:r>
        <w:rPr>
          <w:rFonts w:ascii="Calibri" w:hAnsi="Calibri"/>
          <w:b/>
          <w:bCs/>
          <w:sz w:val="28"/>
          <w:szCs w:val="28"/>
        </w:rPr>
        <w:t>ó</w:t>
      </w:r>
      <w:r w:rsidRPr="00FC1126">
        <w:rPr>
          <w:rFonts w:ascii="Calibri" w:hAnsi="Calibri"/>
          <w:b/>
          <w:bCs/>
          <w:sz w:val="28"/>
          <w:szCs w:val="28"/>
        </w:rPr>
        <w:t>d</w:t>
      </w:r>
      <w:r>
        <w:rPr>
          <w:rFonts w:ascii="Calibri" w:hAnsi="Calibri"/>
          <w:b/>
          <w:bCs/>
          <w:sz w:val="28"/>
          <w:szCs w:val="28"/>
        </w:rPr>
        <w:t>j</w:t>
      </w:r>
      <w:r w:rsidRPr="00FC1126">
        <w:rPr>
          <w:rFonts w:ascii="Calibri" w:hAnsi="Calibri"/>
          <w:b/>
          <w:bCs/>
          <w:sz w:val="28"/>
          <w:szCs w:val="28"/>
        </w:rPr>
        <w:t>a</w:t>
      </w:r>
    </w:p>
    <w:p w:rsidR="00FC1126" w:rsidRDefault="00FC1126" w:rsidP="00FC1126">
      <w:pPr>
        <w:ind w:left="567" w:hanging="567"/>
        <w:rPr>
          <w:rFonts w:ascii="Calibri" w:hAnsi="Calibri"/>
        </w:rPr>
      </w:pPr>
    </w:p>
    <w:p w:rsidR="00FC1126" w:rsidRDefault="00FC1126" w:rsidP="00FC1126">
      <w:pPr>
        <w:rPr>
          <w:rFonts w:cs="Arial"/>
        </w:rPr>
      </w:pPr>
      <w:r w:rsidRPr="00FC1126">
        <w:rPr>
          <w:rFonts w:cs="Arial"/>
        </w:rPr>
        <w:t>Az Eljárás során alkalmazott teljesítménymutató</w:t>
      </w:r>
      <w:r>
        <w:rPr>
          <w:rFonts w:cs="Arial"/>
        </w:rPr>
        <w:t xml:space="preserve"> </w:t>
      </w:r>
      <w:r w:rsidRPr="00FC1126">
        <w:rPr>
          <w:rFonts w:cs="Arial"/>
        </w:rPr>
        <w:t>minden hallgató számára egységes</w:t>
      </w:r>
      <w:r>
        <w:rPr>
          <w:rFonts w:cs="Arial"/>
        </w:rPr>
        <w:t>. A számítás alapja a</w:t>
      </w:r>
      <w:r w:rsidRPr="00FC1126">
        <w:rPr>
          <w:rFonts w:cs="Arial"/>
        </w:rPr>
        <w:t xml:space="preserve"> mintatanterv szerinti első hat félév kötelező és kötelezően választható tárgyaiból számított rész</w:t>
      </w:r>
      <w:r w:rsidRPr="00FC1126">
        <w:rPr>
          <w:rStyle w:val="highlight"/>
          <w:rFonts w:cs="Arial"/>
        </w:rPr>
        <w:t>index</w:t>
      </w:r>
      <w:r w:rsidRPr="00FC1126">
        <w:rPr>
          <w:rFonts w:cs="Arial"/>
        </w:rPr>
        <w:t>ek összege az alábbi kiegészítésekkel:</w:t>
      </w:r>
    </w:p>
    <w:p w:rsidR="00FC1126" w:rsidRPr="00FC1126" w:rsidRDefault="00FC1126" w:rsidP="00FC1126">
      <w:pPr>
        <w:pStyle w:val="Listaszerbekezds"/>
        <w:numPr>
          <w:ilvl w:val="0"/>
          <w:numId w:val="26"/>
        </w:numPr>
        <w:rPr>
          <w:rFonts w:cs="Arial"/>
        </w:rPr>
      </w:pPr>
      <w:r w:rsidRPr="00FC1126">
        <w:rPr>
          <w:rFonts w:cs="Arial"/>
        </w:rPr>
        <w:t>az eljárás során alkalmazott egyes tárgysúlyszámok számítása minden esetben az adott tárgy megelőző öt évben kialakult súlyszámainak átlagolásával történik</w:t>
      </w:r>
      <w:r w:rsidR="00AE78C0">
        <w:rPr>
          <w:rFonts w:cs="Arial"/>
        </w:rPr>
        <w:t>,</w:t>
      </w:r>
    </w:p>
    <w:p w:rsidR="00FC1126" w:rsidRPr="003E20F5" w:rsidRDefault="00FC1126" w:rsidP="00FC1126">
      <w:pPr>
        <w:pStyle w:val="Listaszerbekezds"/>
        <w:numPr>
          <w:ilvl w:val="0"/>
          <w:numId w:val="26"/>
        </w:numPr>
      </w:pPr>
      <w:r w:rsidRPr="00FC1126">
        <w:rPr>
          <w:rFonts w:cs="Arial"/>
        </w:rPr>
        <w:t>amennyiben a hallgató nem teljesítette valamelyik tárgyat a megjelölt mintatantervi időszakból, úgy annak a tárgysúlyszámát nullának kell tekinteni</w:t>
      </w:r>
      <w:r w:rsidR="003E20F5">
        <w:rPr>
          <w:rFonts w:cs="Arial"/>
        </w:rPr>
        <w:t>,</w:t>
      </w:r>
    </w:p>
    <w:p w:rsidR="003E20F5" w:rsidRPr="003E20F5" w:rsidRDefault="003E20F5" w:rsidP="00FC1126">
      <w:pPr>
        <w:pStyle w:val="Listaszerbekezds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3E20F5">
        <w:rPr>
          <w:sz w:val="22"/>
          <w:szCs w:val="22"/>
        </w:rPr>
        <w:t xml:space="preserve">z átállásra való tekintettel </w:t>
      </w:r>
      <w:r w:rsidR="00F76AE7">
        <w:rPr>
          <w:sz w:val="22"/>
          <w:szCs w:val="22"/>
        </w:rPr>
        <w:t xml:space="preserve">kizárólag </w:t>
      </w:r>
      <w:r w:rsidRPr="003E20F5">
        <w:rPr>
          <w:sz w:val="22"/>
          <w:szCs w:val="22"/>
        </w:rPr>
        <w:t xml:space="preserve">2019-ben </w:t>
      </w:r>
      <w:r w:rsidR="00F76AE7">
        <w:rPr>
          <w:sz w:val="22"/>
          <w:szCs w:val="22"/>
        </w:rPr>
        <w:t>a jelentkezett hallgatókat specializációnként a korábbi szempontrendszer szerint is sorbaállítjuk, és a bejutás bármelyik rangsor szerinti sorbaállítás esetén biztosított.</w:t>
      </w:r>
    </w:p>
    <w:p w:rsidR="00635C94" w:rsidRDefault="00635C94" w:rsidP="00635C94"/>
    <w:p w:rsidR="00635C94" w:rsidRDefault="00A11488" w:rsidP="00635C94">
      <w:r>
        <w:t xml:space="preserve">A számításhoz további információ </w:t>
      </w:r>
      <w:r w:rsidR="003E20F5">
        <w:t>az alábbi helyen</w:t>
      </w:r>
      <w:r>
        <w:t xml:space="preserve"> található:</w:t>
      </w:r>
    </w:p>
    <w:p w:rsidR="00635C94" w:rsidRPr="003E20F5" w:rsidRDefault="00803955" w:rsidP="00635C94">
      <w:pPr>
        <w:rPr>
          <w:sz w:val="22"/>
          <w:szCs w:val="22"/>
        </w:rPr>
      </w:pPr>
      <w:hyperlink r:id="rId7" w:history="1">
        <w:r w:rsidR="003E20F5" w:rsidRPr="003E20F5">
          <w:rPr>
            <w:rStyle w:val="Hiperhivatkozs"/>
            <w:sz w:val="22"/>
            <w:szCs w:val="22"/>
          </w:rPr>
          <w:t>http://www.epiteszhk.bme.hu/hirek/20190202/specializaciovalasztas-pontszamitas</w:t>
        </w:r>
      </w:hyperlink>
    </w:p>
    <w:p w:rsidR="003E20F5" w:rsidRPr="003E20F5" w:rsidRDefault="003E20F5" w:rsidP="00635C94"/>
    <w:p w:rsidR="003E20F5" w:rsidRDefault="003E20F5" w:rsidP="00635C94"/>
    <w:p w:rsidR="00A11488" w:rsidRDefault="00A11488" w:rsidP="00A11488">
      <w:r>
        <w:t>Budapest, 2019. május 2</w:t>
      </w:r>
      <w:r w:rsidR="004A0126">
        <w:t>7</w:t>
      </w:r>
      <w:r>
        <w:t>.</w:t>
      </w:r>
    </w:p>
    <w:p w:rsidR="00635C94" w:rsidRDefault="00635C94" w:rsidP="00635C94"/>
    <w:p w:rsidR="00A11488" w:rsidRDefault="00A11488" w:rsidP="00635C94"/>
    <w:p w:rsidR="00A11488" w:rsidRPr="00FC1126" w:rsidRDefault="00A11488" w:rsidP="00635C94"/>
    <w:p w:rsidR="004C7AA1" w:rsidRPr="00693540" w:rsidRDefault="004C7AA1" w:rsidP="00693540">
      <w:pPr>
        <w:tabs>
          <w:tab w:val="left" w:pos="426"/>
          <w:tab w:val="left" w:pos="1418"/>
          <w:tab w:val="left" w:pos="5812"/>
        </w:tabs>
        <w:jc w:val="center"/>
        <w:rPr>
          <w:b/>
          <w:bCs/>
        </w:rPr>
      </w:pPr>
      <w:r w:rsidRPr="00693540">
        <w:rPr>
          <w:b/>
          <w:bCs/>
        </w:rPr>
        <w:t>Balázs Mihály</w:t>
      </w:r>
      <w:r w:rsidR="00693540">
        <w:rPr>
          <w:b/>
          <w:bCs/>
        </w:rPr>
        <w:t xml:space="preserve"> DLA</w:t>
      </w:r>
      <w:r w:rsidRPr="00693540">
        <w:rPr>
          <w:b/>
          <w:bCs/>
        </w:rPr>
        <w:tab/>
      </w:r>
      <w:r w:rsidR="00693540">
        <w:rPr>
          <w:b/>
          <w:bCs/>
        </w:rPr>
        <w:t xml:space="preserve">Dr. </w:t>
      </w:r>
      <w:r w:rsidRPr="00693540">
        <w:rPr>
          <w:b/>
          <w:bCs/>
        </w:rPr>
        <w:t>Sajtos István</w:t>
      </w:r>
    </w:p>
    <w:p w:rsidR="00693540" w:rsidRDefault="00693540" w:rsidP="004C7AA1">
      <w:pPr>
        <w:tabs>
          <w:tab w:val="left" w:pos="5529"/>
        </w:tabs>
        <w:jc w:val="center"/>
      </w:pPr>
      <w:r>
        <w:t>egyetemi tanár</w:t>
      </w:r>
      <w:r>
        <w:tab/>
        <w:t>egyetemi docens</w:t>
      </w:r>
    </w:p>
    <w:p w:rsidR="004C7AA1" w:rsidRPr="004C7AA1" w:rsidRDefault="004C7AA1" w:rsidP="004C7AA1">
      <w:pPr>
        <w:tabs>
          <w:tab w:val="left" w:pos="5529"/>
        </w:tabs>
        <w:jc w:val="center"/>
      </w:pPr>
      <w:r w:rsidRPr="004C7AA1">
        <w:t>a tervezői specializáció felelőse</w:t>
      </w:r>
      <w:r w:rsidRPr="004C7AA1">
        <w:tab/>
        <w:t>a műszaki specializáció felelőse</w:t>
      </w:r>
    </w:p>
    <w:p w:rsidR="004C7AA1" w:rsidRDefault="004C7AA1" w:rsidP="00CA616D">
      <w:pPr>
        <w:rPr>
          <w:sz w:val="28"/>
          <w:szCs w:val="28"/>
        </w:rPr>
      </w:pPr>
    </w:p>
    <w:p w:rsidR="004C7AA1" w:rsidRPr="00CA616D" w:rsidRDefault="004C7AA1" w:rsidP="00CA616D">
      <w:pPr>
        <w:rPr>
          <w:sz w:val="28"/>
          <w:szCs w:val="28"/>
        </w:rPr>
      </w:pPr>
    </w:p>
    <w:p w:rsidR="00693540" w:rsidRPr="00693540" w:rsidRDefault="00693540" w:rsidP="00693540">
      <w:pPr>
        <w:tabs>
          <w:tab w:val="left" w:pos="426"/>
          <w:tab w:val="left" w:pos="1418"/>
          <w:tab w:val="left" w:pos="5812"/>
        </w:tabs>
        <w:jc w:val="center"/>
        <w:rPr>
          <w:b/>
          <w:bCs/>
        </w:rPr>
      </w:pPr>
      <w:r>
        <w:rPr>
          <w:b/>
          <w:bCs/>
        </w:rPr>
        <w:t>Alföldi György DLA</w:t>
      </w:r>
    </w:p>
    <w:p w:rsidR="00693540" w:rsidRDefault="00693540" w:rsidP="00693540">
      <w:pPr>
        <w:tabs>
          <w:tab w:val="left" w:pos="5529"/>
        </w:tabs>
        <w:jc w:val="center"/>
      </w:pPr>
      <w:r>
        <w:t>egyetemi tanár, dékán</w:t>
      </w:r>
    </w:p>
    <w:p w:rsidR="00635C94" w:rsidRDefault="00693540" w:rsidP="00693540">
      <w:pPr>
        <w:ind w:left="567" w:hanging="567"/>
        <w:jc w:val="center"/>
        <w:rPr>
          <w:rFonts w:ascii="Calibri" w:hAnsi="Calibri"/>
        </w:rPr>
      </w:pPr>
      <w:r>
        <w:t>szakfelelős</w:t>
      </w:r>
    </w:p>
    <w:sectPr w:rsidR="00635C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5D2"/>
    <w:multiLevelType w:val="hybridMultilevel"/>
    <w:tmpl w:val="44608B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DFF"/>
    <w:multiLevelType w:val="hybridMultilevel"/>
    <w:tmpl w:val="F73A2A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EE68C">
      <w:numFmt w:val="bullet"/>
      <w:lvlText w:val="-"/>
      <w:lvlJc w:val="left"/>
      <w:pPr>
        <w:ind w:left="2160" w:hanging="360"/>
      </w:pPr>
      <w:rPr>
        <w:rFonts w:ascii="Calibri" w:eastAsia="Arial Unicode MS" w:hAnsi="Calibri" w:cs="Arial Unicode M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F03"/>
    <w:multiLevelType w:val="hybridMultilevel"/>
    <w:tmpl w:val="BD8E8042"/>
    <w:lvl w:ilvl="0" w:tplc="568EE68C">
      <w:numFmt w:val="bullet"/>
      <w:lvlText w:val="-"/>
      <w:lvlJc w:val="left"/>
      <w:pPr>
        <w:ind w:left="786" w:hanging="360"/>
      </w:pPr>
      <w:rPr>
        <w:rFonts w:ascii="Calibri" w:eastAsia="Arial Unicode MS" w:hAnsi="Calibri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78941D2"/>
    <w:multiLevelType w:val="hybridMultilevel"/>
    <w:tmpl w:val="CD90954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3A7C"/>
    <w:multiLevelType w:val="hybridMultilevel"/>
    <w:tmpl w:val="DEE6D462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A23099"/>
    <w:multiLevelType w:val="hybridMultilevel"/>
    <w:tmpl w:val="49DE2B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7809"/>
    <w:multiLevelType w:val="hybridMultilevel"/>
    <w:tmpl w:val="A1FA634C"/>
    <w:lvl w:ilvl="0" w:tplc="568EE68C">
      <w:numFmt w:val="bullet"/>
      <w:lvlText w:val="-"/>
      <w:lvlJc w:val="left"/>
      <w:pPr>
        <w:ind w:left="2484" w:hanging="360"/>
      </w:pPr>
      <w:rPr>
        <w:rFonts w:ascii="Calibri" w:eastAsia="Arial Unicode MS" w:hAnsi="Calibri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09C6E90"/>
    <w:multiLevelType w:val="hybridMultilevel"/>
    <w:tmpl w:val="BD3A0400"/>
    <w:lvl w:ilvl="0" w:tplc="568EE68C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66A20"/>
    <w:multiLevelType w:val="hybridMultilevel"/>
    <w:tmpl w:val="8788035E"/>
    <w:lvl w:ilvl="0" w:tplc="40901EB6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37EE2"/>
    <w:multiLevelType w:val="hybridMultilevel"/>
    <w:tmpl w:val="D6D68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725A6"/>
    <w:multiLevelType w:val="hybridMultilevel"/>
    <w:tmpl w:val="F7AACB64"/>
    <w:lvl w:ilvl="0" w:tplc="040E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8E15425"/>
    <w:multiLevelType w:val="hybridMultilevel"/>
    <w:tmpl w:val="9298533A"/>
    <w:lvl w:ilvl="0" w:tplc="040E0005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12" w15:restartNumberingAfterBreak="0">
    <w:nsid w:val="3B461957"/>
    <w:multiLevelType w:val="hybridMultilevel"/>
    <w:tmpl w:val="9E8E27EC"/>
    <w:lvl w:ilvl="0" w:tplc="568EE68C">
      <w:numFmt w:val="bullet"/>
      <w:lvlText w:val="-"/>
      <w:lvlJc w:val="left"/>
      <w:pPr>
        <w:ind w:left="1854" w:hanging="360"/>
      </w:pPr>
      <w:rPr>
        <w:rFonts w:ascii="Calibri" w:eastAsia="Arial Unicode MS" w:hAnsi="Calibri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EE51B34"/>
    <w:multiLevelType w:val="hybridMultilevel"/>
    <w:tmpl w:val="83EA16E8"/>
    <w:lvl w:ilvl="0" w:tplc="568EE68C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27ED0"/>
    <w:multiLevelType w:val="hybridMultilevel"/>
    <w:tmpl w:val="7682BC00"/>
    <w:lvl w:ilvl="0" w:tplc="568EE68C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711E3"/>
    <w:multiLevelType w:val="hybridMultilevel"/>
    <w:tmpl w:val="A8E25DAC"/>
    <w:lvl w:ilvl="0" w:tplc="568EE68C">
      <w:numFmt w:val="bullet"/>
      <w:lvlText w:val="-"/>
      <w:lvlJc w:val="left"/>
      <w:pPr>
        <w:ind w:left="1146" w:hanging="360"/>
      </w:pPr>
      <w:rPr>
        <w:rFonts w:ascii="Calibri" w:eastAsia="Arial Unicode MS" w:hAnsi="Calibri" w:cs="Arial Unicode MS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C22A6A"/>
    <w:multiLevelType w:val="multilevel"/>
    <w:tmpl w:val="75F0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16A1453"/>
    <w:multiLevelType w:val="hybridMultilevel"/>
    <w:tmpl w:val="F93875A2"/>
    <w:lvl w:ilvl="0" w:tplc="7A2679C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972DA"/>
    <w:multiLevelType w:val="hybridMultilevel"/>
    <w:tmpl w:val="B79C63C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ECF08CD"/>
    <w:multiLevelType w:val="hybridMultilevel"/>
    <w:tmpl w:val="B4B8754E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E25781"/>
    <w:multiLevelType w:val="hybridMultilevel"/>
    <w:tmpl w:val="7C5C5FC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EE68C">
      <w:numFmt w:val="bullet"/>
      <w:lvlText w:val="-"/>
      <w:lvlJc w:val="left"/>
      <w:pPr>
        <w:ind w:left="2880" w:hanging="360"/>
      </w:pPr>
      <w:rPr>
        <w:rFonts w:ascii="Calibri" w:eastAsia="Arial Unicode MS" w:hAnsi="Calibri" w:cs="Arial Unicode M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A240F"/>
    <w:multiLevelType w:val="hybridMultilevel"/>
    <w:tmpl w:val="1C2C3CA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11A43"/>
    <w:multiLevelType w:val="hybridMultilevel"/>
    <w:tmpl w:val="5E263C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E7460"/>
    <w:multiLevelType w:val="hybridMultilevel"/>
    <w:tmpl w:val="8C1690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F4F7B"/>
    <w:multiLevelType w:val="hybridMultilevel"/>
    <w:tmpl w:val="3544BC38"/>
    <w:lvl w:ilvl="0" w:tplc="568EE68C">
      <w:numFmt w:val="bullet"/>
      <w:lvlText w:val="-"/>
      <w:lvlJc w:val="left"/>
      <w:pPr>
        <w:ind w:left="786" w:hanging="360"/>
      </w:pPr>
      <w:rPr>
        <w:rFonts w:ascii="Calibri" w:eastAsia="Arial Unicode MS" w:hAnsi="Calibri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D0E43D6"/>
    <w:multiLevelType w:val="hybridMultilevel"/>
    <w:tmpl w:val="3D4C037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0"/>
  </w:num>
  <w:num w:numId="5">
    <w:abstractNumId w:val="11"/>
  </w:num>
  <w:num w:numId="6">
    <w:abstractNumId w:val="0"/>
  </w:num>
  <w:num w:numId="7">
    <w:abstractNumId w:val="23"/>
  </w:num>
  <w:num w:numId="8">
    <w:abstractNumId w:val="5"/>
  </w:num>
  <w:num w:numId="9">
    <w:abstractNumId w:val="22"/>
  </w:num>
  <w:num w:numId="10">
    <w:abstractNumId w:val="4"/>
  </w:num>
  <w:num w:numId="11">
    <w:abstractNumId w:val="25"/>
  </w:num>
  <w:num w:numId="12">
    <w:abstractNumId w:val="24"/>
  </w:num>
  <w:num w:numId="13">
    <w:abstractNumId w:val="19"/>
  </w:num>
  <w:num w:numId="14">
    <w:abstractNumId w:val="15"/>
  </w:num>
  <w:num w:numId="15">
    <w:abstractNumId w:val="20"/>
  </w:num>
  <w:num w:numId="16">
    <w:abstractNumId w:val="12"/>
  </w:num>
  <w:num w:numId="17">
    <w:abstractNumId w:val="1"/>
  </w:num>
  <w:num w:numId="18">
    <w:abstractNumId w:val="13"/>
  </w:num>
  <w:num w:numId="19">
    <w:abstractNumId w:val="17"/>
  </w:num>
  <w:num w:numId="20">
    <w:abstractNumId w:val="8"/>
  </w:num>
  <w:num w:numId="21">
    <w:abstractNumId w:val="3"/>
  </w:num>
  <w:num w:numId="22">
    <w:abstractNumId w:val="21"/>
  </w:num>
  <w:num w:numId="23">
    <w:abstractNumId w:val="2"/>
  </w:num>
  <w:num w:numId="24">
    <w:abstractNumId w:val="14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6D"/>
    <w:rsid w:val="0004497E"/>
    <w:rsid w:val="00085377"/>
    <w:rsid w:val="00202633"/>
    <w:rsid w:val="002A125B"/>
    <w:rsid w:val="0037164A"/>
    <w:rsid w:val="00372D1C"/>
    <w:rsid w:val="003E20F5"/>
    <w:rsid w:val="00422C49"/>
    <w:rsid w:val="0047534D"/>
    <w:rsid w:val="004A0126"/>
    <w:rsid w:val="004C7AA1"/>
    <w:rsid w:val="00582D5F"/>
    <w:rsid w:val="00595B14"/>
    <w:rsid w:val="005C5D89"/>
    <w:rsid w:val="00635C94"/>
    <w:rsid w:val="006615E4"/>
    <w:rsid w:val="00693540"/>
    <w:rsid w:val="006C6578"/>
    <w:rsid w:val="006E4E93"/>
    <w:rsid w:val="00711A89"/>
    <w:rsid w:val="00803955"/>
    <w:rsid w:val="00872570"/>
    <w:rsid w:val="00A11488"/>
    <w:rsid w:val="00AE78C0"/>
    <w:rsid w:val="00B1104D"/>
    <w:rsid w:val="00BF2E95"/>
    <w:rsid w:val="00C84463"/>
    <w:rsid w:val="00CA616D"/>
    <w:rsid w:val="00DE6F88"/>
    <w:rsid w:val="00F620CE"/>
    <w:rsid w:val="00F76AE7"/>
    <w:rsid w:val="00FC1126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1E88"/>
  <w15:chartTrackingRefBased/>
  <w15:docId w15:val="{B3240102-BCF9-4491-B653-6B1A627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616D"/>
    <w:pPr>
      <w:widowControl w:val="0"/>
      <w:suppressAutoHyphens/>
      <w:spacing w:after="0" w:line="240" w:lineRule="auto"/>
      <w:jc w:val="both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CA616D"/>
    <w:pPr>
      <w:keepNext/>
      <w:keepLines/>
      <w:spacing w:before="240"/>
      <w:outlineLvl w:val="0"/>
    </w:pPr>
    <w:rPr>
      <w:rFonts w:eastAsiaTheme="majorEastAsia" w:cs="Mangal"/>
      <w:b/>
      <w:caps/>
      <w:kern w:val="28"/>
      <w:sz w:val="28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unkatarsak-linkek">
    <w:name w:val="munkatarsak-linkek"/>
    <w:rsid w:val="00CA616D"/>
  </w:style>
  <w:style w:type="paragraph" w:styleId="Listaszerbekezds">
    <w:name w:val="List Paragraph"/>
    <w:basedOn w:val="Norml"/>
    <w:uiPriority w:val="34"/>
    <w:qFormat/>
    <w:rsid w:val="00CA616D"/>
    <w:pPr>
      <w:ind w:left="720"/>
      <w:contextualSpacing/>
    </w:pPr>
    <w:rPr>
      <w:rFonts w:cs="Mangal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CA616D"/>
    <w:rPr>
      <w:rFonts w:eastAsiaTheme="majorEastAsia" w:cs="Mangal"/>
      <w:b/>
      <w:caps/>
      <w:kern w:val="28"/>
      <w:sz w:val="28"/>
      <w:szCs w:val="29"/>
      <w:lang w:eastAsia="hi-IN" w:bidi="hi-IN"/>
    </w:rPr>
  </w:style>
  <w:style w:type="character" w:styleId="Hiperhivatkozs">
    <w:name w:val="Hyperlink"/>
    <w:basedOn w:val="Bekezdsalapbettpusa"/>
    <w:uiPriority w:val="99"/>
    <w:unhideWhenUsed/>
    <w:rsid w:val="00422C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22C49"/>
    <w:rPr>
      <w:color w:val="605E5C"/>
      <w:shd w:val="clear" w:color="auto" w:fill="E1DFDD"/>
    </w:rPr>
  </w:style>
  <w:style w:type="character" w:customStyle="1" w:styleId="highlight">
    <w:name w:val="highlight"/>
    <w:basedOn w:val="Bekezdsalapbettpusa"/>
    <w:rsid w:val="00FC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iteszhk.bme.hu/hirek/20190202/specializaciovalasztas-pontszamit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zs.m@kozep.bme.hu" TargetMode="External"/><Relationship Id="rId5" Type="http://schemas.openxmlformats.org/officeDocument/2006/relationships/hyperlink" Target="https://www.epitesz.bme.hu/files/doc/epk_oszt_specval_du_201901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967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János Vidovszky</dc:creator>
  <cp:keywords/>
  <dc:description/>
  <cp:lastModifiedBy>István János Vidovszky</cp:lastModifiedBy>
  <cp:revision>11</cp:revision>
  <dcterms:created xsi:type="dcterms:W3CDTF">2019-05-24T20:41:00Z</dcterms:created>
  <dcterms:modified xsi:type="dcterms:W3CDTF">2019-05-27T19:27:00Z</dcterms:modified>
</cp:coreProperties>
</file>