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18023E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AE2F88">
            <w:t xml:space="preserve">ÉTM4 - </w:t>
          </w:r>
          <w:r w:rsidR="00027A08">
            <w:t>Építési technológiák minőségirányítása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r w:rsidR="00AE2F88">
        <w:rPr>
          <w:rFonts w:ascii="Arial" w:hAnsi="Arial" w:cs="Arial"/>
        </w:rPr>
        <w:br/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AE2F88">
            <w:t xml:space="preserve">CM4 - </w:t>
          </w:r>
          <w:r w:rsidR="00027A08">
            <w:t>Controlling of Construction technologies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E07626">
            <w:rPr>
              <w:rStyle w:val="adatC"/>
            </w:rPr>
            <w:t>K8</w:t>
          </w:r>
          <w:r w:rsidR="00BD706A">
            <w:rPr>
              <w:rStyle w:val="adatC"/>
            </w:rPr>
            <w:t>01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18023E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18023E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8023E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18023E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D706A">
                  <w:t>kapcsolt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8023E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18023E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18023E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D706A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18023E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D706A">
            <w:t>4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18023E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AE2F88">
                  <w:t>Dr. Lepel Adrienn</w:t>
                </w:r>
              </w:sdtContent>
            </w:sdt>
          </w:p>
          <w:p w:rsidR="00A06CB9" w:rsidRPr="0023236F" w:rsidRDefault="0018023E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BD706A">
                  <w:t xml:space="preserve">egyetemi </w:t>
                </w:r>
                <w:r w:rsidR="00E07626">
                  <w:t>adjunktus</w:t>
                </w:r>
              </w:sdtContent>
            </w:sdt>
          </w:p>
          <w:p w:rsidR="00A06CB9" w:rsidRPr="00A06CB9" w:rsidRDefault="0018023E" w:rsidP="00E07626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AE2F88">
                  <w:t>alepel</w:t>
                </w:r>
                <w:r w:rsidR="005F4563">
                  <w:t>@</w:t>
                </w:r>
                <w:r w:rsidR="008518A7">
                  <w:t>ekt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18023E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18023E" w:rsidP="00E07626">
          <w:pPr>
            <w:pStyle w:val="adat"/>
          </w:pPr>
          <w:hyperlink r:id="rId9" w:anchor="Újkiv4" w:history="1">
            <w:r w:rsidR="00E07626" w:rsidRPr="002C3B5D">
              <w:rPr>
                <w:rStyle w:val="Hiperhivatkozs"/>
              </w:rPr>
              <w:t>http://www.ekt.bme.hu/Epiteszt.shtml#Újkiv4</w:t>
            </w:r>
          </w:hyperlink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18023E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330053" w:rsidRPr="00AE4AF5" w:rsidRDefault="00B83161" w:rsidP="00D56BF0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E07626">
            <w:t>8</w:t>
          </w:r>
          <w:r w:rsidR="000F55F0">
            <w:t>. félév</w:t>
          </w:r>
          <w:r w:rsidR="0026119A">
            <w:t>, szerkezeti szakirány specializáció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E07626" w:rsidRDefault="00E07626" w:rsidP="00D55C6C">
          <w:pPr>
            <w:pStyle w:val="Cmsor4"/>
            <w:numPr>
              <w:ilvl w:val="0"/>
              <w:numId w:val="0"/>
            </w:numPr>
            <w:ind w:left="1134"/>
          </w:pPr>
          <w:r w:rsidRPr="00E07626">
            <w:rPr>
              <w:rStyle w:val="adatC"/>
            </w:rPr>
            <w:t>BMEEPESA501</w:t>
          </w:r>
          <w:r w:rsidRPr="00E07626">
            <w:rPr>
              <w:b/>
            </w:rPr>
            <w:t xml:space="preserve"> </w:t>
          </w:r>
          <w:r>
            <w:t xml:space="preserve">● </w:t>
          </w:r>
          <w:sdt>
            <w:sdtPr>
              <w:rPr>
                <w:rFonts w:ascii="Arial" w:hAnsi="Arial" w:cs="Arial"/>
              </w:rPr>
              <w:id w:val="-1956937519"/>
              <w:placeholder>
                <w:docPart w:val="9972E691DB294BE0B099075884F371A9"/>
              </w:placeholder>
              <w15:color w:val="C0C0C0"/>
              <w:text/>
            </w:sdtPr>
            <w:sdtEndPr/>
            <w:sdtContent>
              <w:r>
                <w:rPr>
                  <w:rFonts w:ascii="Arial" w:hAnsi="Arial" w:cs="Arial"/>
                </w:rPr>
                <w:t>Épületszerkezettan 4.</w:t>
              </w:r>
            </w:sdtContent>
          </w:sdt>
        </w:p>
        <w:p w:rsidR="00F7708A" w:rsidRDefault="00D17631" w:rsidP="00D55C6C">
          <w:pPr>
            <w:pStyle w:val="Cmsor4"/>
            <w:numPr>
              <w:ilvl w:val="0"/>
              <w:numId w:val="0"/>
            </w:numPr>
            <w:ind w:left="1134"/>
          </w:pPr>
          <w:r w:rsidRPr="0084280B">
            <w:rPr>
              <w:rStyle w:val="adatC"/>
            </w:rPr>
            <w:t>BMEEP</w:t>
          </w:r>
          <w:r w:rsidR="008518A7">
            <w:rPr>
              <w:rStyle w:val="adatC"/>
            </w:rPr>
            <w:t>E</w:t>
          </w:r>
          <w:r w:rsidR="00BD706A">
            <w:rPr>
              <w:rStyle w:val="adatC"/>
            </w:rPr>
            <w:t>K</w:t>
          </w:r>
          <w:r w:rsidRPr="0084280B">
            <w:rPr>
              <w:rStyle w:val="adatC"/>
            </w:rPr>
            <w:t>A</w:t>
          </w:r>
          <w:r w:rsidR="00E07626">
            <w:rPr>
              <w:rStyle w:val="adatC"/>
            </w:rPr>
            <w:t>7</w:t>
          </w:r>
          <w:r w:rsidRPr="0084280B">
            <w:rPr>
              <w:rStyle w:val="adatC"/>
            </w:rPr>
            <w:t>0</w:t>
          </w:r>
          <w:r w:rsidR="008518A7">
            <w:rPr>
              <w:rStyle w:val="adatC"/>
            </w:rPr>
            <w:t>1</w:t>
          </w:r>
          <w:r>
            <w:t xml:space="preserve"> ● </w:t>
          </w:r>
          <w:sdt>
            <w:sdtPr>
              <w:rPr>
                <w:rFonts w:ascii="Arial" w:hAnsi="Arial" w:cs="Arial"/>
              </w:rPr>
              <w:id w:val="-2028628404"/>
              <w:placeholder>
                <w:docPart w:val="5F271BE3F5CA4F3ABE279E353AF76BE2"/>
              </w:placeholder>
              <w15:color w:val="C0C0C0"/>
              <w:text/>
            </w:sdtPr>
            <w:sdtEndPr/>
            <w:sdtContent>
              <w:r w:rsidR="00E07626" w:rsidRPr="00AD31EB">
                <w:rPr>
                  <w:rFonts w:ascii="Arial" w:hAnsi="Arial" w:cs="Arial"/>
                </w:rPr>
                <w:t>Építési technológiák folyamattervezése</w:t>
              </w:r>
            </w:sdtContent>
          </w:sdt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:showingPlcHdr/>
        <w15:color w:val="C0C0C0"/>
      </w:sdtPr>
      <w:sdtEndPr/>
      <w:sdtContent>
        <w:p w:rsidR="00507A7F" w:rsidRPr="0008652C" w:rsidRDefault="00C10934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18023E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C10934" w:rsidRDefault="00C10934" w:rsidP="00C10934">
          <w:pPr>
            <w:pStyle w:val="adat"/>
          </w:pPr>
          <w:r w:rsidRPr="00C10934">
            <w:t>A tárgy célja, hogy a hallgatók megismerjék a gyakorlati, építéshelyi kivitelezés irányító és el-lenőrző tevékenységeit, lássák ezek alkalmazását a kivitelez</w:t>
          </w:r>
          <w:r w:rsidR="008D4998">
            <w:t>ési folyamatokban résztvevő irá</w:t>
          </w:r>
          <w:r w:rsidRPr="00C10934">
            <w:t>nyító szakemberek (műszaki ellenőr, felelős műszaki vezető, projektkoordinátor) munkájában. Szerezzenek tudást a kivitelezési munka irányítás és lebonyolí</w:t>
          </w:r>
          <w:r w:rsidR="008D4998">
            <w:t>tás szakmai jogszabályi háttéré</w:t>
          </w:r>
          <w:r w:rsidRPr="00C10934">
            <w:t>ről, annak működési elvéről</w:t>
          </w:r>
          <w:r w:rsidR="00E649E5" w:rsidRPr="00E649E5">
            <w:t>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Pr="00030CB0">
        <w:rPr>
          <w:i/>
        </w:rPr>
        <w:t xml:space="preserve">Ismeri az épületmegvalósítási folyamatokhoz szükséges műszaki, gazdasági és jogi eszközöket, technológiákat, eljárásokat és elvárásokat. </w:t>
      </w:r>
    </w:p>
    <w:p w:rsidR="001E66D7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-</w:t>
      </w:r>
      <w:r>
        <w:rPr>
          <w:i/>
        </w:rPr>
        <w:t xml:space="preserve"> Á</w:t>
      </w:r>
      <w:r w:rsidRPr="00030CB0">
        <w:rPr>
          <w:i/>
        </w:rPr>
        <w:t>tlátja az épület tervezése és megvalósítása során együttműködő társszakmákat, szervezeteket, az együttműködés szokásos módjait, eljárásait.</w:t>
      </w:r>
    </w:p>
    <w:p w:rsidR="00746FA5" w:rsidRPr="004C2D6E" w:rsidRDefault="001E66D7" w:rsidP="001E66D7">
      <w:pPr>
        <w:pStyle w:val="Cmsor3"/>
        <w:numPr>
          <w:ilvl w:val="0"/>
          <w:numId w:val="0"/>
        </w:numPr>
        <w:ind w:left="709"/>
      </w:pPr>
      <w:r>
        <w:rPr>
          <w:i/>
        </w:rPr>
        <w:t>-</w:t>
      </w:r>
      <w:r w:rsidR="00C10934" w:rsidRPr="00C10934">
        <w:rPr>
          <w:i/>
        </w:rPr>
        <w:t>Ismeri az építészeti tervezés és az építési tevékenység minőségbiztosítási elveit és módszereit, rálátása van a minősítési rendszerekre.</w:t>
      </w:r>
      <w:r w:rsidR="00550550" w:rsidRPr="001E66D7">
        <w:rPr>
          <w:i/>
        </w:rPr>
        <w:t>”</w:t>
      </w:r>
      <w:r w:rsidR="00550550" w:rsidRPr="00C10934">
        <w:t>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F36F0F" w:rsidP="00F36F0F">
          <w:pPr>
            <w:pStyle w:val="Cmsor4"/>
          </w:pPr>
          <w:r w:rsidRPr="00F36F0F">
            <w:t xml:space="preserve">Ismeri </w:t>
          </w:r>
          <w:r w:rsidR="00EE67E3" w:rsidRPr="00193A22">
            <w:rPr>
              <w:rFonts w:cstheme="minorHAnsi"/>
            </w:rPr>
            <w:t>az építéshelyi kivitelezés irányító és ellenőrző tevékenységeit</w:t>
          </w:r>
          <w:r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 xml:space="preserve">tisztában van </w:t>
          </w:r>
          <w:r w:rsidR="00EE67E3" w:rsidRPr="00193A22">
            <w:rPr>
              <w:rFonts w:cstheme="minorHAnsi"/>
            </w:rPr>
            <w:t xml:space="preserve">a tervező építész szerepével </w:t>
          </w:r>
          <w:r w:rsidR="00EE67E3">
            <w:rPr>
              <w:rFonts w:cstheme="minorHAnsi"/>
            </w:rPr>
            <w:t xml:space="preserve">a </w:t>
          </w:r>
          <w:r w:rsidR="00EE67E3" w:rsidRPr="00193A22">
            <w:rPr>
              <w:rFonts w:cstheme="minorHAnsi"/>
            </w:rPr>
            <w:t>kivitelezés irányító és ellenőrző tevékenységei</w:t>
          </w:r>
          <w:r w:rsidR="00EE67E3">
            <w:rPr>
              <w:rFonts w:cstheme="minorHAnsi"/>
            </w:rPr>
            <w:t>nek</w:t>
          </w:r>
          <w:r w:rsidR="00EE67E3" w:rsidRPr="00193A22">
            <w:rPr>
              <w:rFonts w:cstheme="minorHAnsi"/>
            </w:rPr>
            <w:t xml:space="preserve"> előkészítési, felmérési és átadási feladataiban</w:t>
          </w:r>
          <w:r w:rsidR="00F36F0F"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 xml:space="preserve">ismeri </w:t>
          </w:r>
          <w:r w:rsidR="00EE67E3" w:rsidRPr="00193A22">
            <w:rPr>
              <w:rFonts w:cstheme="minorHAnsi"/>
            </w:rPr>
            <w:t>egyes technológiákon belül a technológiához kapcsolódó mennyiség számítás elveit, a teljes épület építéstechnológiai folyamatát a kivitelezés ellenőrzési szemszögéből</w:t>
          </w:r>
          <w:r w:rsidR="00F36F0F" w:rsidRPr="00F36F0F">
            <w:t>;</w:t>
          </w:r>
        </w:p>
        <w:p w:rsidR="007D400C" w:rsidRPr="007D400C" w:rsidRDefault="0026686D" w:rsidP="005A2215">
          <w:pPr>
            <w:pStyle w:val="Cmsor4"/>
          </w:pPr>
          <w:r>
            <w:t xml:space="preserve">rálátása van </w:t>
          </w:r>
          <w:r w:rsidR="00EE67E3" w:rsidRPr="00193A22">
            <w:rPr>
              <w:rFonts w:cstheme="minorHAnsi"/>
            </w:rPr>
            <w:t>a technológiai folyamatok normarendszerei</w:t>
          </w:r>
          <w:r w:rsidR="00EE67E3">
            <w:rPr>
              <w:rFonts w:cstheme="minorHAnsi"/>
            </w:rPr>
            <w:t>re</w:t>
          </w:r>
          <w:r w:rsidR="00EE67E3" w:rsidRPr="00193A22">
            <w:rPr>
              <w:rFonts w:cstheme="minorHAnsi"/>
            </w:rPr>
            <w:t>, azok felmérési és ellenőrző szerepé</w:t>
          </w:r>
          <w:r w:rsidR="00EE67E3">
            <w:rPr>
              <w:rFonts w:cstheme="minorHAnsi"/>
            </w:rPr>
            <w:t>re</w:t>
          </w:r>
          <w:r w:rsidR="00EE67E3" w:rsidRPr="00193A22">
            <w:rPr>
              <w:rFonts w:cstheme="minorHAnsi"/>
            </w:rPr>
            <w:t>, ezek alkalmazásá</w:t>
          </w:r>
          <w:r w:rsidR="00EE67E3">
            <w:rPr>
              <w:rFonts w:cstheme="minorHAnsi"/>
            </w:rPr>
            <w:t>ra</w:t>
          </w:r>
          <w:r w:rsidR="00EE67E3" w:rsidRPr="00193A22">
            <w:rPr>
              <w:rFonts w:cstheme="minorHAnsi"/>
            </w:rPr>
            <w:t xml:space="preserve"> a kivitelezési folyamatokban résztvevő irányító szakemberek (műszaki ellenőr, felelős műszaki vezető, projektkoordinátor) munkájában</w:t>
          </w:r>
          <w:r w:rsidR="007D400C">
            <w:rPr>
              <w:rFonts w:cstheme="minorHAnsi"/>
            </w:rPr>
            <w:t>;</w:t>
          </w:r>
        </w:p>
        <w:p w:rsidR="00424163" w:rsidRDefault="007D400C" w:rsidP="005A2215">
          <w:pPr>
            <w:pStyle w:val="Cmsor4"/>
          </w:pPr>
          <w:r>
            <w:rPr>
              <w:rFonts w:cstheme="minorHAnsi"/>
            </w:rPr>
            <w:t xml:space="preserve">ismeri </w:t>
          </w:r>
          <w:r w:rsidRPr="00193A22">
            <w:rPr>
              <w:rFonts w:cstheme="minorHAnsi"/>
            </w:rPr>
            <w:t>a szervezésből származó építési hibákat és azok elkerülésének eszközeit</w:t>
          </w:r>
          <w:r w:rsidR="00480E49">
            <w:t>.</w:t>
          </w:r>
        </w:p>
      </w:sdtContent>
    </w:sdt>
    <w:p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Pr="001E66D7">
        <w:rPr>
          <w:i/>
        </w:rPr>
        <w:t>Képes hatékonyan közreműködni az ingatlanfejlesztés, beruházás, megvalósítás építészmérnök bevonását igénylő feladataiban.</w:t>
      </w:r>
    </w:p>
    <w:p w:rsidR="00EE67E3" w:rsidRPr="00EE67E3" w:rsidRDefault="001E66D7" w:rsidP="00EE67E3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 xml:space="preserve">- </w:t>
      </w:r>
      <w:r w:rsidR="00EE67E3" w:rsidRPr="00EE67E3">
        <w:rPr>
          <w:i/>
        </w:rPr>
        <w:t xml:space="preserve">Képes az építészeti tervezés és az építési folyamatok során keletkező problémák felismerésére, a komplex gondolkodásmódra, a különböző szempontok közti összefüggések, kölcsönhatások átlátására, a szempontok rangsorolására, az ellentmondások feloldására, a különböző lehetőségek közötti körültekintő döntésre. </w:t>
      </w:r>
    </w:p>
    <w:p w:rsidR="00EE67E3" w:rsidRPr="00EE67E3" w:rsidRDefault="00EE67E3" w:rsidP="00EE67E3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</w:t>
      </w:r>
      <w:r w:rsidRPr="00EE67E3">
        <w:rPr>
          <w:i/>
        </w:rPr>
        <w:t>Képes korábban nem ismert problémák felismerésére, új termékek, szerkezetek, technológiák megismerésére és körültekintő értékelésére, alkalmazására.</w:t>
      </w:r>
    </w:p>
    <w:p w:rsidR="00550550" w:rsidRPr="001E66D7" w:rsidRDefault="00EE67E3" w:rsidP="00EE67E3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</w:t>
      </w:r>
      <w:r w:rsidRPr="00EE67E3">
        <w:rPr>
          <w:i/>
        </w:rPr>
        <w:t>Képes a tervezési, kivitelezési és üzemeltetési folyamatok során gyűjtött információk rendszerezésére, a törvényszerűségek megfigyelésére és elemzésére, a következtetések levonására, a tapasztalatok alkalmazására.</w:t>
      </w:r>
    </w:p>
    <w:p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Képes az építészeti tevékenységhez kapcsolódó feladatok megosztására és rangsorolására, képes megteremteni a bevont szakemberek együtt dolgozásának feltételeit, képes munkacsoportok megszervezésére, irányítására.”)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4515FA" w:rsidRPr="00331AC0" w:rsidRDefault="00331AC0" w:rsidP="004515FA">
          <w:pPr>
            <w:pStyle w:val="Cmsor4"/>
          </w:pPr>
          <w:r w:rsidRPr="00331AC0">
            <w:t xml:space="preserve">Képes </w:t>
          </w:r>
          <w:r w:rsidR="004515FA">
            <w:t>áttekinte</w:t>
          </w:r>
          <w:r w:rsidR="0098065E">
            <w:t>ni a</w:t>
          </w:r>
          <w:r w:rsidR="004515FA">
            <w:t xml:space="preserve"> </w:t>
          </w:r>
          <w:r w:rsidR="00EE67E3">
            <w:t>megvalósítási</w:t>
          </w:r>
          <w:r w:rsidR="004515FA">
            <w:t xml:space="preserve"> folyamatot, </w:t>
          </w:r>
          <w:r w:rsidR="00EE67E3">
            <w:t>az egyes technológiákhoz tartozó minőségi követelmények mentén</w:t>
          </w:r>
          <w:r w:rsidR="004515FA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lastRenderedPageBreak/>
            <w:t xml:space="preserve">képes </w:t>
          </w:r>
          <w:r w:rsidR="007D400C">
            <w:t>értelmezni és alkalmazni az építési technológiákra vonatkozó normákat, normarendszereket</w:t>
          </w:r>
          <w:r w:rsidRPr="00331AC0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alkalmazni tudja </w:t>
          </w:r>
          <w:r w:rsidR="0098065E">
            <w:t xml:space="preserve">az ismertetett </w:t>
          </w:r>
          <w:r w:rsidR="007D400C">
            <w:t>minőség-ellenőrzési</w:t>
          </w:r>
          <w:r w:rsidR="004515FA">
            <w:t xml:space="preserve">, </w:t>
          </w:r>
          <w:r w:rsidR="007D400C">
            <w:t xml:space="preserve">mennyiségszámítási módszereket, </w:t>
          </w:r>
          <w:r w:rsidR="0098065E">
            <w:t>képes önállóan megoldani a beruházási tervhez kapcsolódó részfeladatokat</w:t>
          </w:r>
          <w:r w:rsidRPr="00331AC0">
            <w:t>;</w:t>
          </w:r>
        </w:p>
        <w:p w:rsidR="0098065E" w:rsidRDefault="00331AC0" w:rsidP="00331AC0">
          <w:pPr>
            <w:pStyle w:val="Cmsor4"/>
            <w:rPr>
              <w:lang w:eastAsia="en-GB"/>
            </w:rPr>
          </w:pPr>
          <w:r w:rsidRPr="00331AC0">
            <w:t xml:space="preserve">képes </w:t>
          </w:r>
          <w:r w:rsidR="0098065E">
            <w:t xml:space="preserve">értelmezni </w:t>
          </w:r>
          <w:r w:rsidR="00EE67E3" w:rsidRPr="00193A22">
            <w:rPr>
              <w:rFonts w:cstheme="minorHAnsi"/>
            </w:rPr>
            <w:t>a kivitelezési munka irányítás és lebonyolítás szakmai jogszabályi háttéré</w:t>
          </w:r>
          <w:r w:rsidR="00EE67E3">
            <w:rPr>
              <w:rFonts w:cstheme="minorHAnsi"/>
            </w:rPr>
            <w:t>t, annak működési elvét</w:t>
          </w:r>
          <w:r w:rsidR="0098065E">
            <w:t>;</w:t>
          </w:r>
        </w:p>
        <w:p w:rsidR="00E73573" w:rsidRPr="005F4563" w:rsidRDefault="0098065E" w:rsidP="00331AC0">
          <w:pPr>
            <w:pStyle w:val="Cmsor4"/>
            <w:rPr>
              <w:lang w:eastAsia="en-GB"/>
            </w:rPr>
          </w:pPr>
          <w:r>
            <w:t>képes a feladatokat csoportmunkában, hallgatótársaival együttműködve megoldani, az együttes munkát szervezni és összehangolni.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>z építés</w:t>
          </w:r>
          <w:r w:rsidR="007D400C">
            <w:t xml:space="preserve">i folyamatok minőségirányításával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</w:t>
          </w:r>
          <w:r w:rsidR="007D400C">
            <w:t xml:space="preserve"> tervezés és</w:t>
          </w:r>
          <w:r w:rsidRPr="00C63CEE">
            <w:t xml:space="preserve"> </w:t>
          </w:r>
          <w:r w:rsidR="007D400C">
            <w:t>megvalósítás</w:t>
          </w:r>
          <w:r w:rsidR="00462A56">
            <w:t xml:space="preserve"> során </w:t>
          </w:r>
          <w:r w:rsidRPr="00C63CEE">
            <w:t xml:space="preserve">előforduló </w:t>
          </w:r>
          <w:r w:rsidR="007D400C">
            <w:t xml:space="preserve">minőségi </w:t>
          </w:r>
          <w:r w:rsidRPr="00C63CEE">
            <w:t xml:space="preserve">problémák megoldásához szükséges ismeretek </w:t>
          </w:r>
          <w:r w:rsidR="008500D0">
            <w:t>(jogi és műszaki háttérismeretek)</w:t>
          </w:r>
          <w:r w:rsidR="000E143A">
            <w:t xml:space="preserve"> </w:t>
          </w:r>
          <w:r w:rsidRPr="00C63CEE">
            <w:t>elsajátítására és alkalmazására;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375E93">
            <w:t xml:space="preserve">építéskivitelezési- és szervezési </w:t>
          </w:r>
          <w:r w:rsidRPr="00C63CEE">
            <w:t>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kommunikáció írásban és szóban, </w:t>
          </w:r>
          <w:r w:rsidR="008500D0">
            <w:t>minél több példa bemutatása – a</w:t>
          </w:r>
          <w:r w:rsidR="007D400C">
            <w:t xml:space="preserve"> tervezési- és</w:t>
          </w:r>
          <w:r w:rsidR="008500D0">
            <w:t xml:space="preserve"> építési folyamatból és határ-, illetve analóg területekről 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:showingPlcHdr/>
        <w15:color w:val="C0C0C0"/>
      </w:sdtPr>
      <w:sdtEndPr/>
      <w:sdtContent>
        <w:p w:rsidR="00872296" w:rsidRPr="0051709A" w:rsidRDefault="00A62FD3" w:rsidP="00A62FD3">
          <w:pPr>
            <w:autoSpaceDE w:val="0"/>
            <w:autoSpaceDN w:val="0"/>
            <w:adjustRightInd w:val="0"/>
            <w:ind w:left="709"/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A62FD3" w:rsidRPr="00A62FD3" w:rsidRDefault="00A62FD3" w:rsidP="00A62FD3">
          <w:pPr>
            <w:pStyle w:val="adat"/>
            <w:rPr>
              <w:rFonts w:cs="Calibri,Bold"/>
              <w:bCs/>
            </w:rPr>
          </w:pPr>
          <w:r w:rsidRPr="00A62FD3">
            <w:rPr>
              <w:rFonts w:cs="Calibri,Bold"/>
              <w:bCs/>
            </w:rPr>
            <w:t>Építéstechnológiák minőségirányítása I. – Tanszéki segédlet (sz.: Wiesner György)</w:t>
          </w:r>
        </w:p>
        <w:p w:rsidR="00872296" w:rsidRPr="00A62FD3" w:rsidRDefault="00A62FD3" w:rsidP="00A62FD3">
          <w:pPr>
            <w:pStyle w:val="adat"/>
            <w:rPr>
              <w:rStyle w:val="Hiperhivatkozs"/>
              <w:rFonts w:cs="Calibri,Bold"/>
              <w:bCs/>
            </w:rPr>
          </w:pPr>
          <w:r w:rsidRPr="00A62FD3">
            <w:rPr>
              <w:rFonts w:cs="Calibri,Bold"/>
              <w:bCs/>
            </w:rPr>
            <w:t>Építéstechnológiák minőségirányítása II. – Tanszéki segédlet (sz.: Wiesner György)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F80430" w:rsidRDefault="00A62FD3" w:rsidP="00A62FD3">
          <w:pPr>
            <w:pStyle w:val="adat"/>
          </w:pPr>
          <w:r>
            <w:rPr>
              <w:rFonts w:cs="Calibri,Bold"/>
              <w:bCs/>
            </w:rPr>
            <w:t>Előadási fóliák a tanszéki honlapon</w:t>
          </w:r>
        </w:p>
      </w:sdtContent>
    </w:sdt>
    <w:p w:rsidR="001E66D7" w:rsidRDefault="001E66D7" w:rsidP="001E66D7">
      <w:pPr>
        <w:pStyle w:val="Cmsor1"/>
      </w:pPr>
      <w:r>
        <w:t>Tantárgy tematikája</w:t>
      </w:r>
    </w:p>
    <w:p w:rsidR="001E66D7" w:rsidRDefault="001E66D7" w:rsidP="001E66D7">
      <w:pPr>
        <w:pStyle w:val="Cmsor2"/>
      </w:pPr>
      <w:r>
        <w:t>Előadások tematikája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Az építési folyamatok minőségbiztosítása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Minőség-ellenőrzés</w:t>
      </w:r>
    </w:p>
    <w:p w:rsidR="00A62FD3" w:rsidRDefault="00A62FD3" w:rsidP="008E5DC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Minőségbiztosítás a szárazépítésben; Álmennyezeti rendszerek; Álpadló rendszerek</w:t>
      </w:r>
    </w:p>
    <w:p w:rsidR="00A62FD3" w:rsidRPr="004B29AF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B29AF">
        <w:t>Az épületek</w:t>
      </w:r>
      <w:r w:rsidR="000E143A" w:rsidRPr="004B29AF">
        <w:t xml:space="preserve">re és termékekre vonatkozó alapvető követelmények </w:t>
      </w:r>
      <w:r w:rsidRPr="004B29AF">
        <w:t>meghatározása</w:t>
      </w:r>
      <w:r w:rsidR="000E143A" w:rsidRPr="004B29AF">
        <w:t>i</w:t>
      </w:r>
      <w:r w:rsidRPr="004B29AF">
        <w:t xml:space="preserve"> 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Az építési termék építménybe történő betervezésének és beépítésének, ennek során a teljesítmény igazolásának részletes szabályai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Az az építési termékek forgalmazására vonatkozó feltételek </w:t>
      </w:r>
    </w:p>
    <w:p w:rsidR="00A62FD3" w:rsidRDefault="00A62FD3" w:rsidP="0053405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Az építésügyi hatósági eljárás; Építési engedélyezési eljárás</w:t>
      </w:r>
    </w:p>
    <w:p w:rsidR="00A62FD3" w:rsidRDefault="00A62FD3" w:rsidP="00C16CA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Könnyűszerkezetes épületek; Boronafalas építés 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lastRenderedPageBreak/>
        <w:t>Nyílászárók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Szalmaházak</w:t>
      </w:r>
    </w:p>
    <w:p w:rsidR="00A62FD3" w:rsidRDefault="00A62FD3" w:rsidP="00A62FD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Beton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EU kitekintés – eljárások, szervezetek és támogatások</w:t>
      </w:r>
    </w:p>
    <w:p w:rsidR="001E66D7" w:rsidRDefault="001E66D7" w:rsidP="001E66D7">
      <w:pPr>
        <w:pStyle w:val="Cmsor2"/>
      </w:pPr>
      <w:r>
        <w:t>Gyakorlati órák tematikája</w:t>
      </w:r>
    </w:p>
    <w:p w:rsidR="006D61F8" w:rsidRDefault="00A62FD3" w:rsidP="006D61F8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az előadáshoz kapcsolódó gyakorlati ismeretek bemutatása</w:t>
      </w:r>
    </w:p>
    <w:p w:rsidR="0026119A" w:rsidRDefault="0026119A" w:rsidP="006D61F8">
      <w:pPr>
        <w:spacing w:after="160" w:line="259" w:lineRule="auto"/>
        <w:ind w:left="927"/>
        <w:jc w:val="left"/>
      </w:pP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9C6FB5" w:rsidP="009C6FB5">
          <w:pPr>
            <w:pStyle w:val="Cmsor3"/>
          </w:pPr>
          <w:r w:rsidRPr="009C6FB5">
            <w:t>Az előadás</w:t>
          </w:r>
          <w:r w:rsidR="00375E93">
            <w:t>o</w:t>
          </w:r>
          <w:r w:rsidR="00A62FD3">
            <w:t>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9F38A4" w:rsidRDefault="00447B09" w:rsidP="00EC509A">
          <w:pPr>
            <w:pStyle w:val="Cmsor4"/>
            <w:jc w:val="both"/>
            <w:rPr>
              <w:rFonts w:cs="Times New Roman"/>
            </w:rPr>
          </w:pPr>
          <w:r w:rsidRPr="009F38A4">
            <w:rPr>
              <w:i/>
            </w:rPr>
            <w:t>Ö</w:t>
          </w:r>
          <w:r w:rsidR="00EC509A" w:rsidRPr="009F38A4">
            <w:rPr>
              <w:i/>
            </w:rPr>
            <w:t>sszegző tanulmányi teljesítményértékelés</w:t>
          </w:r>
          <w:r w:rsidR="00EC509A" w:rsidRPr="009F38A4">
            <w:t xml:space="preserve"> (a továbbiakban zárthelyi</w:t>
          </w:r>
          <w:r w:rsidR="003A35EA" w:rsidRPr="009F38A4">
            <w:t xml:space="preserve"> dolgozat): </w:t>
          </w:r>
          <w:r w:rsidR="0080239C" w:rsidRPr="009F38A4">
            <w:t>a tantárgyból nincs zárthelyi dolgozat, lehetőség van azonban a szorgalmi időszakban elővizsgát tenni, ennek hossza 30 perc</w:t>
          </w:r>
          <w:r w:rsidR="00EC509A" w:rsidRPr="009F38A4">
            <w:t>;</w:t>
          </w:r>
        </w:p>
        <w:p w:rsidR="00EC509A" w:rsidRPr="009F38A4" w:rsidRDefault="00447B09" w:rsidP="00EC509A">
          <w:pPr>
            <w:pStyle w:val="Cmsor4"/>
            <w:jc w:val="both"/>
            <w:rPr>
              <w:rFonts w:cs="Times New Roman"/>
            </w:rPr>
          </w:pPr>
          <w:r w:rsidRPr="009F38A4">
            <w:rPr>
              <w:rFonts w:cs="Times New Roman"/>
              <w:i/>
            </w:rPr>
            <w:t>R</w:t>
          </w:r>
          <w:r w:rsidR="00EC509A" w:rsidRPr="009F38A4">
            <w:rPr>
              <w:rFonts w:cs="Times New Roman"/>
              <w:i/>
            </w:rPr>
            <w:t>észteljesítmény-értékelés</w:t>
          </w:r>
          <w:r w:rsidR="00ED2F65" w:rsidRPr="009F38A4">
            <w:rPr>
              <w:rFonts w:cs="Times New Roman"/>
            </w:rPr>
            <w:t xml:space="preserve">: </w:t>
          </w:r>
          <w:r w:rsidR="003A35EA" w:rsidRPr="009F38A4">
            <w:rPr>
              <w:rFonts w:cs="Times New Roman"/>
            </w:rPr>
            <w:t xml:space="preserve">(a továbbiakban órai feladat): a tantárgy tudás, képesség, attitűd, valamint önállóság és felelősség típusú kompetenciaelemeinek komplex értékelési módja, melynek megjelenési formája a </w:t>
          </w:r>
          <w:r w:rsidR="0080239C" w:rsidRPr="009F38A4">
            <w:rPr>
              <w:rFonts w:cs="Times New Roman"/>
            </w:rPr>
            <w:t xml:space="preserve">szorgalmi feladatként vállalható kiselőadás megtartása, választott, </w:t>
          </w:r>
          <w:r w:rsidR="003A35EA" w:rsidRPr="009F38A4">
            <w:rPr>
              <w:rFonts w:cs="Times New Roman"/>
            </w:rPr>
            <w:t>az előadó</w:t>
          </w:r>
          <w:r w:rsidR="0080239C" w:rsidRPr="009F38A4">
            <w:rPr>
              <w:rFonts w:cs="Times New Roman"/>
            </w:rPr>
            <w:t>val</w:t>
          </w:r>
          <w:r w:rsidR="003A35EA" w:rsidRPr="009F38A4">
            <w:rPr>
              <w:rFonts w:cs="Times New Roman"/>
            </w:rPr>
            <w:t xml:space="preserve"> és az évfolyamfelelő</w:t>
          </w:r>
          <w:r w:rsidR="0080239C" w:rsidRPr="009F38A4">
            <w:rPr>
              <w:rFonts w:cs="Times New Roman"/>
            </w:rPr>
            <w:t>s</w:t>
          </w:r>
          <w:r w:rsidR="003A35EA" w:rsidRPr="009F38A4">
            <w:rPr>
              <w:rFonts w:cs="Times New Roman"/>
            </w:rPr>
            <w:t>s</w:t>
          </w:r>
          <w:r w:rsidR="0080239C" w:rsidRPr="009F38A4">
            <w:rPr>
              <w:rFonts w:cs="Times New Roman"/>
            </w:rPr>
            <w:t>el egyeztetett témában. A kiselőadás eredménye az elővizsgába számít 50%-kal.</w:t>
          </w:r>
        </w:p>
        <w:p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:rsidR="00261FF6" w:rsidRPr="003A35EA" w:rsidRDefault="003A35EA" w:rsidP="003A35EA">
          <w:pPr>
            <w:pStyle w:val="Cmsor4"/>
          </w:pPr>
          <w:r>
            <w:rPr>
              <w:i/>
            </w:rPr>
            <w:t>Ö</w:t>
          </w:r>
          <w:r w:rsidRPr="00447B09">
            <w:rPr>
              <w:i/>
            </w:rPr>
            <w:t xml:space="preserve">sszegző tanulmányi teljesítményértékelés </w:t>
          </w:r>
          <w:r>
            <w:t>(a továbbiakban írásbeli vizsga): a tantárgy és tudás, képesség típusú kompetenciaelemeinek komplex értékelési módja írásbeli vizsga formájában, amely a megszerzett ismeretek átadására és alkalmazására fókuszál, azaz elméleti és gyakorlati jellegű feladatot kell megoldani, a rendelkezésre álló munkaidő 75 perc;</w:t>
          </w: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két zárthelyi és legalább kilenc órai feladat megfelelt szintű elkészítése.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0239C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>(opcionális) elővizsga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AE2F88" w:rsidP="003A35EA">
                <w:pPr>
                  <w:pStyle w:val="adat"/>
                  <w:jc w:val="center"/>
                </w:pPr>
                <w:r>
                  <w:t>50</w:t>
                </w:r>
                <w:r w:rsidR="0080239C">
                  <w:t>%</w:t>
                </w:r>
              </w:p>
            </w:tc>
          </w:tr>
          <w:tr w:rsidR="00915E3A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915E3A" w:rsidRPr="008632C4" w:rsidRDefault="0080239C" w:rsidP="008632C4">
                <w:pPr>
                  <w:pStyle w:val="adat"/>
                </w:pPr>
                <w:r>
                  <w:t>(opcionális) kiselőadás – szorgalmi feladat</w:t>
                </w:r>
              </w:p>
            </w:tc>
            <w:tc>
              <w:tcPr>
                <w:tcW w:w="3402" w:type="dxa"/>
                <w:vAlign w:val="center"/>
              </w:tcPr>
              <w:p w:rsidR="00915E3A" w:rsidRDefault="00AE2F88" w:rsidP="003A35EA">
                <w:pPr>
                  <w:pStyle w:val="adat"/>
                  <w:jc w:val="center"/>
                </w:pPr>
                <w:r>
                  <w:t>50</w:t>
                </w:r>
                <w:r w:rsidR="0080239C">
                  <w:t>%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527F5F">
          <w:pPr>
            <w:pStyle w:val="Cmsor3"/>
            <w:rPr>
              <w:iCs/>
            </w:rPr>
          </w:pPr>
          <w:r w:rsidRPr="008632C4">
            <w:t>A</w:t>
          </w:r>
          <w:r w:rsidR="003A35EA">
            <w:t>z írásbeli vizsga,</w:t>
          </w:r>
          <w:r w:rsidRPr="008632C4">
            <w:t xml:space="preserve"> mint összegző tanulmányi teljesítményértékelés </w:t>
          </w:r>
          <w:r w:rsidR="00915E3A">
            <w:t>százalékos pontozással</w:t>
          </w:r>
          <w:r w:rsidRPr="008632C4">
            <w:t xml:space="preserve"> kerül értékelésre</w:t>
          </w:r>
          <w:r w:rsidR="007E3B82">
            <w:t>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</w:t>
          </w:r>
          <w:r w:rsidR="00AE2F88">
            <w:rPr>
              <w:iCs/>
            </w:rPr>
            <w:t xml:space="preserve">megajánlott jegyként </w:t>
          </w:r>
          <w:r w:rsidR="00ED2F65">
            <w:rPr>
              <w:iCs/>
            </w:rPr>
            <w:t>a</w:t>
          </w:r>
          <w:r w:rsidR="0080239C">
            <w:rPr>
              <w:iCs/>
            </w:rPr>
            <w:t xml:space="preserve">z elővizsgán </w:t>
          </w:r>
          <w:r w:rsidR="00AE2F88">
            <w:rPr>
              <w:iCs/>
            </w:rPr>
            <w:t xml:space="preserve">elért eredmény képezi, ebbe számítható be a szorgalmi feladat. Amennyiben a hallgató nem fogadja el a megajánlott jegyét, vizsgát tehet, ebben az esetben a jegy számításának alapját </w:t>
          </w:r>
          <w:r w:rsidR="0080239C">
            <w:rPr>
              <w:iCs/>
            </w:rPr>
            <w:t>a</w:t>
          </w:r>
          <w:r w:rsidR="00ED2F65">
            <w:rPr>
              <w:iCs/>
            </w:rPr>
            <w:t xml:space="preserve"> </w:t>
          </w:r>
          <w:r w:rsidR="00915E3A">
            <w:rPr>
              <w:iCs/>
            </w:rPr>
            <w:t>vizsgán</w:t>
          </w:r>
          <w:r w:rsidR="00ED2F65">
            <w:rPr>
              <w:iCs/>
            </w:rPr>
            <w:t xml:space="preserve"> elért </w:t>
          </w:r>
          <w:r w:rsidR="00915E3A">
            <w:rPr>
              <w:iCs/>
            </w:rPr>
            <w:t>százalék</w:t>
          </w:r>
          <w:r w:rsidR="00ED2F65">
            <w:rPr>
              <w:iCs/>
            </w:rPr>
            <w:t xml:space="preserve"> képezi.</w:t>
          </w:r>
          <w:r w:rsidR="00ED2F65">
            <w:t xml:space="preserve">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lastRenderedPageBreak/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>ok egyenként</w:t>
          </w:r>
          <w:r>
            <w:t xml:space="preserve"> a Tanulmányi- és Vizsgaszabályzat szabályai szerint</w:t>
          </w:r>
          <w:r w:rsidR="00A672C2" w:rsidRPr="00A672C2">
            <w:t xml:space="preserve"> pótolható</w:t>
          </w:r>
          <w:r w:rsidR="00915E3A">
            <w:t>k</w:t>
          </w:r>
          <w:r w:rsidR="00A672C2" w:rsidRPr="00A672C2">
            <w:t xml:space="preserve">. </w:t>
          </w:r>
        </w:p>
        <w:p w:rsidR="002F23CE" w:rsidRPr="003471DC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>zárthelyi dolgozat</w:t>
          </w:r>
          <w:r w:rsidR="00915E3A">
            <w:t>ok</w:t>
          </w:r>
          <w:r w:rsidRPr="00A672C2">
            <w:t xml:space="preserve"> a pótlási héten díjmentesen pótolható</w:t>
          </w:r>
          <w:r w:rsidR="000E73B5">
            <w:t>k</w:t>
          </w:r>
          <w:r w:rsidRPr="00A672C2">
            <w:t xml:space="preserve">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18023E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462A56">
                  <w:t>2</w:t>
                </w:r>
                <w:r w:rsidR="00F6675C" w:rsidRPr="005309BC">
                  <w:t>×</w:t>
                </w:r>
                <w:r w:rsidR="00915E3A">
                  <w:t>4</w:t>
                </w:r>
                <w:r w:rsidR="00F6675C" w:rsidRPr="005309BC">
                  <w:t>=</w:t>
                </w:r>
                <w:r w:rsidR="00915E3A">
                  <w:t>48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  <w:r w:rsidR="00AE2F88">
              <w:t xml:space="preserve"> (opcionális)</w:t>
            </w:r>
          </w:p>
        </w:tc>
        <w:tc>
          <w:tcPr>
            <w:tcW w:w="3402" w:type="dxa"/>
            <w:vAlign w:val="center"/>
          </w:tcPr>
          <w:p w:rsidR="00F6675C" w:rsidRPr="00F6675C" w:rsidRDefault="0018023E" w:rsidP="009F38A4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80239C">
                  <w:t>1</w:t>
                </w:r>
                <w:r w:rsidR="00F6675C">
                  <w:t>x</w:t>
                </w:r>
                <w:r w:rsidR="009F38A4">
                  <w:t>24</w:t>
                </w:r>
                <w:r w:rsidR="00AA0099">
                  <w:t>=</w:t>
                </w:r>
                <w:r w:rsidR="009F38A4">
                  <w:t>24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462A56" w:rsidP="00F6675C">
            <w:pPr>
              <w:pStyle w:val="adat"/>
            </w:pPr>
            <w:r>
              <w:t>felkészülés a kontaktórákra</w:t>
            </w:r>
          </w:p>
        </w:tc>
        <w:tc>
          <w:tcPr>
            <w:tcW w:w="3402" w:type="dxa"/>
            <w:vAlign w:val="center"/>
          </w:tcPr>
          <w:p w:rsidR="00F6675C" w:rsidRPr="00F6675C" w:rsidRDefault="0018023E" w:rsidP="00D30A3D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462A56">
                  <w:t>1</w:t>
                </w:r>
                <w:r w:rsidR="00F6675C">
                  <w:t>2x</w:t>
                </w:r>
                <w:r w:rsidR="00AE2F88">
                  <w:t>3</w:t>
                </w:r>
                <w:r w:rsidR="00AA0099">
                  <w:t>=</w:t>
                </w:r>
                <w:r w:rsidR="00AE2F88">
                  <w:t>36</w:t>
                </w:r>
              </w:sdtContent>
            </w:sdt>
          </w:p>
        </w:tc>
      </w:tr>
      <w:tr w:rsidR="00915E3A" w:rsidRPr="00F6675C" w:rsidTr="00A3270B">
        <w:trPr>
          <w:cantSplit/>
        </w:trPr>
        <w:tc>
          <w:tcPr>
            <w:tcW w:w="6804" w:type="dxa"/>
            <w:vAlign w:val="center"/>
          </w:tcPr>
          <w:p w:rsidR="00915E3A" w:rsidRDefault="00915E3A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:rsidR="00915E3A" w:rsidRDefault="00915E3A" w:rsidP="00AE2F88">
            <w:pPr>
              <w:pStyle w:val="adat"/>
              <w:jc w:val="center"/>
            </w:pPr>
            <w:r>
              <w:t>1x</w:t>
            </w:r>
            <w:r w:rsidR="00AE2F88">
              <w:t>36</w:t>
            </w:r>
            <w:r>
              <w:t>=</w:t>
            </w:r>
            <w:r w:rsidR="00AE2F88">
              <w:t>36</w:t>
            </w:r>
          </w:p>
        </w:tc>
      </w:tr>
      <w:tr w:rsidR="006D61F8" w:rsidRPr="00F6675C" w:rsidTr="00A3270B">
        <w:trPr>
          <w:cantSplit/>
        </w:trPr>
        <w:tc>
          <w:tcPr>
            <w:tcW w:w="6804" w:type="dxa"/>
            <w:vAlign w:val="center"/>
          </w:tcPr>
          <w:p w:rsidR="006D61F8" w:rsidRDefault="0080239C" w:rsidP="00F6675C">
            <w:pPr>
              <w:pStyle w:val="adat"/>
            </w:pPr>
            <w:r>
              <w:t>szorgalmi feladat elkészítése</w:t>
            </w:r>
            <w:r w:rsidR="009F38A4">
              <w:t xml:space="preserve"> (opcionális)</w:t>
            </w:r>
          </w:p>
        </w:tc>
        <w:tc>
          <w:tcPr>
            <w:tcW w:w="3402" w:type="dxa"/>
            <w:vAlign w:val="center"/>
          </w:tcPr>
          <w:p w:rsidR="006D61F8" w:rsidRDefault="006D61F8" w:rsidP="00462A56">
            <w:pPr>
              <w:pStyle w:val="adat"/>
              <w:jc w:val="center"/>
            </w:pPr>
            <w:r>
              <w:t>12x1=12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15E3A">
                  <w:t>120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18023E">
            <w:t>2018. május 30.</w:t>
          </w:r>
        </w:sdtContent>
      </w:sdt>
    </w:p>
    <w:p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7A" w:rsidRDefault="000B1E7A" w:rsidP="00492416">
      <w:pPr>
        <w:spacing w:after="0"/>
      </w:pPr>
      <w:r>
        <w:separator/>
      </w:r>
    </w:p>
  </w:endnote>
  <w:endnote w:type="continuationSeparator" w:id="0">
    <w:p w:rsidR="000B1E7A" w:rsidRDefault="000B1E7A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18023E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7A" w:rsidRDefault="000B1E7A" w:rsidP="00492416">
      <w:pPr>
        <w:spacing w:after="0"/>
      </w:pPr>
      <w:r>
        <w:separator/>
      </w:r>
    </w:p>
  </w:footnote>
  <w:footnote w:type="continuationSeparator" w:id="0">
    <w:p w:rsidR="000B1E7A" w:rsidRDefault="000B1E7A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27A08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1E7A"/>
    <w:rsid w:val="000B2A58"/>
    <w:rsid w:val="000C7717"/>
    <w:rsid w:val="000D01B8"/>
    <w:rsid w:val="000D63D0"/>
    <w:rsid w:val="000E143A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8023E"/>
    <w:rsid w:val="0019682E"/>
    <w:rsid w:val="001A48BA"/>
    <w:rsid w:val="001A5504"/>
    <w:rsid w:val="001B3669"/>
    <w:rsid w:val="001B4375"/>
    <w:rsid w:val="001B7A60"/>
    <w:rsid w:val="001E49F9"/>
    <w:rsid w:val="001E4F6A"/>
    <w:rsid w:val="001E632A"/>
    <w:rsid w:val="001E66D7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E22A3"/>
    <w:rsid w:val="002F23CE"/>
    <w:rsid w:val="002F47B8"/>
    <w:rsid w:val="0032772F"/>
    <w:rsid w:val="00330053"/>
    <w:rsid w:val="00331AC0"/>
    <w:rsid w:val="00335D2B"/>
    <w:rsid w:val="003471DC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005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29AF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0A53"/>
    <w:rsid w:val="007A3AC9"/>
    <w:rsid w:val="007A4E2E"/>
    <w:rsid w:val="007A681B"/>
    <w:rsid w:val="007B3B59"/>
    <w:rsid w:val="007D21CA"/>
    <w:rsid w:val="007D400C"/>
    <w:rsid w:val="007D750B"/>
    <w:rsid w:val="007E3B82"/>
    <w:rsid w:val="007F18C4"/>
    <w:rsid w:val="008004E8"/>
    <w:rsid w:val="0080239C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D4998"/>
    <w:rsid w:val="008E0E2D"/>
    <w:rsid w:val="008F7DCD"/>
    <w:rsid w:val="00904DF7"/>
    <w:rsid w:val="00905635"/>
    <w:rsid w:val="00906BB1"/>
    <w:rsid w:val="00910915"/>
    <w:rsid w:val="00915E3A"/>
    <w:rsid w:val="009222B8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10C6"/>
    <w:rsid w:val="009F38A4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2FD3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2F88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10934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4A27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07626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E67E3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F271BE3F5CA4F3ABE279E353AF76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F7087E-9E61-4377-A031-6C82514BA9F4}"/>
      </w:docPartPr>
      <w:docPartBody>
        <w:p w:rsidR="00022C00" w:rsidRDefault="001772CD" w:rsidP="001772CD">
          <w:pPr>
            <w:pStyle w:val="5F271BE3F5CA4F3ABE279E353AF76BE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972E691DB294BE0B099075884F371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E7BC7C-E880-4A92-B663-B6594B65A69D}"/>
      </w:docPartPr>
      <w:docPartBody>
        <w:p w:rsidR="00022C00" w:rsidRDefault="001772CD" w:rsidP="001772CD">
          <w:pPr>
            <w:pStyle w:val="9972E691DB294BE0B099075884F371A9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22C00"/>
    <w:rsid w:val="0014050D"/>
    <w:rsid w:val="00172FB2"/>
    <w:rsid w:val="001772CD"/>
    <w:rsid w:val="002A10FC"/>
    <w:rsid w:val="0033077A"/>
    <w:rsid w:val="004432A1"/>
    <w:rsid w:val="004D1D97"/>
    <w:rsid w:val="00570E9C"/>
    <w:rsid w:val="00604432"/>
    <w:rsid w:val="00670A00"/>
    <w:rsid w:val="0073742A"/>
    <w:rsid w:val="00782458"/>
    <w:rsid w:val="007C1FDC"/>
    <w:rsid w:val="007C4F8E"/>
    <w:rsid w:val="00856078"/>
    <w:rsid w:val="00860DA6"/>
    <w:rsid w:val="008A0B5E"/>
    <w:rsid w:val="00922D3C"/>
    <w:rsid w:val="00922E5F"/>
    <w:rsid w:val="0096674B"/>
    <w:rsid w:val="00982473"/>
    <w:rsid w:val="009C6E5B"/>
    <w:rsid w:val="009E17BF"/>
    <w:rsid w:val="00A6731A"/>
    <w:rsid w:val="00B11F27"/>
    <w:rsid w:val="00BE0A3B"/>
    <w:rsid w:val="00CA4942"/>
    <w:rsid w:val="00EC5953"/>
    <w:rsid w:val="00F53739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72CD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5F271BE3F5CA4F3ABE279E353AF76BE2">
    <w:name w:val="5F271BE3F5CA4F3ABE279E353AF76BE2"/>
    <w:rsid w:val="001772CD"/>
    <w:rPr>
      <w:lang w:val="hu-HU" w:eastAsia="hu-HU"/>
    </w:rPr>
  </w:style>
  <w:style w:type="paragraph" w:customStyle="1" w:styleId="9972E691DB294BE0B099075884F371A9">
    <w:name w:val="9972E691DB294BE0B099075884F371A9"/>
    <w:rsid w:val="001772CD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EB71-18F0-4239-814D-8CC8F53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9758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2</cp:revision>
  <cp:lastPrinted>2016-04-18T11:21:00Z</cp:lastPrinted>
  <dcterms:created xsi:type="dcterms:W3CDTF">2018-05-22T10:39:00Z</dcterms:created>
  <dcterms:modified xsi:type="dcterms:W3CDTF">2018-05-22T10:39:00Z</dcterms:modified>
</cp:coreProperties>
</file>