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4F575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6A5375">
            <w:t>építészinformatika</w:t>
          </w:r>
          <w:r w:rsidR="00F34F11">
            <w:t xml:space="preserve"> </w:t>
          </w:r>
          <w:r w:rsidR="00531115">
            <w:t>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>CAAD and Architect</w:t>
          </w:r>
          <w:r w:rsidR="00841445">
            <w:rPr>
              <w:lang w:val="en-GB"/>
            </w:rPr>
            <w:t>s</w:t>
          </w:r>
          <w:r w:rsidR="00D46AF5" w:rsidRPr="00D46AF5">
            <w:rPr>
              <w:lang w:val="en-GB"/>
            </w:rPr>
            <w:t xml:space="preserve"> Informatics </w:t>
          </w:r>
          <w:r w:rsidR="00531115">
            <w:rPr>
              <w:lang w:val="en-GB"/>
            </w:rPr>
            <w:t>E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23</w:t>
          </w:r>
          <w:r w:rsidR="00531115">
            <w:rPr>
              <w:rStyle w:val="adatC"/>
            </w:rPr>
            <w:t>5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4F575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4F575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3111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4F575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4F575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4F575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3111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4F575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31115">
                  <w:t>kapcsolt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4F575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4F575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4F575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4F575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4F575E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4F575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E3E8C" w:rsidP="00BE3E8C">
          <w:pPr>
            <w:pStyle w:val="adat"/>
          </w:pPr>
          <w:r w:rsidRPr="00BE3E8C">
            <w:t>http://epab.bme.hu/?</w:t>
          </w:r>
          <w:r w:rsidR="00C35C0F">
            <w:t>3dsmax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4F575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4F575E" w:rsidP="000F55F0">
          <w:pPr>
            <w:pStyle w:val="Heading4"/>
          </w:pP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24BCE">
            <w:t>2018. május 30.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3E60ED" w:rsidP="00DF0FDD">
          <w:pPr>
            <w:pStyle w:val="adat"/>
            <w:rPr>
              <w:iCs/>
            </w:rPr>
          </w:pPr>
          <w:r w:rsidRPr="003E60ED">
            <w:rPr>
              <w:iCs/>
            </w:rPr>
            <w:t xml:space="preserve">A tantárgy célja, hogy </w:t>
          </w:r>
          <w:r w:rsidR="002B4FC5">
            <w:rPr>
              <w:iCs/>
            </w:rPr>
            <w:t xml:space="preserve">megismertesse a hallgatókat a CAD/CAAD modellek </w:t>
          </w:r>
          <w:proofErr w:type="spellStart"/>
          <w:r w:rsidR="002B4FC5">
            <w:rPr>
              <w:iCs/>
            </w:rPr>
            <w:t>fotorealisztikus</w:t>
          </w:r>
          <w:proofErr w:type="spellEnd"/>
          <w:r w:rsidR="002B4FC5">
            <w:rPr>
              <w:iCs/>
            </w:rPr>
            <w:t xml:space="preserve"> kidolgozásával ismert </w:t>
          </w:r>
          <w:proofErr w:type="spellStart"/>
          <w:r w:rsidR="002B4FC5">
            <w:rPr>
              <w:iCs/>
            </w:rPr>
            <w:t>renderelő</w:t>
          </w:r>
          <w:proofErr w:type="spellEnd"/>
          <w:r w:rsidR="002B4FC5">
            <w:rPr>
              <w:iCs/>
            </w:rPr>
            <w:t xml:space="preserve"> program használata révén</w:t>
          </w:r>
          <w:r w:rsidRPr="003E60ED">
            <w:rPr>
              <w:iCs/>
            </w:rPr>
            <w:t>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304C47" w:rsidRPr="00A25E58" w:rsidRDefault="00304C47" w:rsidP="00BC7960">
          <w:pPr>
            <w:pStyle w:val="Heading4"/>
          </w:pPr>
          <w:r w:rsidRPr="00A25E58">
            <w:t xml:space="preserve">Ismeri </w:t>
          </w:r>
          <w:r>
            <w:t>egy</w:t>
          </w:r>
          <w:r w:rsidRPr="00A25E58">
            <w:t xml:space="preserve"> adott CA</w:t>
          </w:r>
          <w:r>
            <w:t>A</w:t>
          </w:r>
          <w:r w:rsidRPr="00A25E58">
            <w:t xml:space="preserve">D </w:t>
          </w:r>
          <w:r>
            <w:t>programozás</w:t>
          </w:r>
          <w:r w:rsidRPr="00A25E58">
            <w:t xml:space="preserve">, </w:t>
          </w:r>
          <w:r>
            <w:t>valamint</w:t>
          </w:r>
          <w:r w:rsidRPr="00A25E58">
            <w:t xml:space="preserve"> személyre szabási lehetőségeit; </w:t>
          </w:r>
        </w:p>
        <w:p w:rsidR="00304C47" w:rsidRPr="00A25E58" w:rsidRDefault="00304C47" w:rsidP="00304C47">
          <w:pPr>
            <w:pStyle w:val="Heading4"/>
          </w:pPr>
          <w:r w:rsidRPr="00A25E58">
            <w:t>alapos ismeretekkel bír a program szerkesztő- és módosító parancsairól;</w:t>
          </w:r>
        </w:p>
        <w:p w:rsidR="00304C47" w:rsidRDefault="00304C47" w:rsidP="00304C47">
          <w:pPr>
            <w:pStyle w:val="Heading4"/>
          </w:pPr>
          <w:r w:rsidRPr="00A25E58">
            <w:t>rálátása van az adott C</w:t>
          </w:r>
          <w:r>
            <w:t>A</w:t>
          </w:r>
          <w:r w:rsidRPr="00A25E58">
            <w:t xml:space="preserve">AD program </w:t>
          </w:r>
          <w:r>
            <w:t>integrálási</w:t>
          </w:r>
          <w:r w:rsidRPr="00A25E58">
            <w:t xml:space="preserve"> lehetőségeire;</w:t>
          </w:r>
        </w:p>
        <w:p w:rsidR="00304C47" w:rsidRDefault="00304C47" w:rsidP="00304C47">
          <w:r w:rsidRPr="00A25E58">
            <w:t>ismeri a rendszer export-import funkcióit, a más programokkal való együttműködési módjait és szempontjait.</w:t>
          </w:r>
        </w:p>
        <w:p w:rsidR="00424163" w:rsidRPr="00304C47" w:rsidRDefault="00304C47" w:rsidP="00304C47">
          <w:pPr>
            <w:pStyle w:val="Heading4"/>
          </w:pPr>
          <w:r>
            <w:t xml:space="preserve">ismeri az adott CAAD </w:t>
          </w:r>
          <w:r w:rsidRPr="00A25E58">
            <w:t>pr</w:t>
          </w:r>
          <w:r>
            <w:t>ogram bővítési lehetőségeit.</w:t>
          </w: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:rsidR="00304C47" w:rsidRDefault="00304C47" w:rsidP="00304C47">
          <w:pPr>
            <w:pStyle w:val="Heading4"/>
          </w:pPr>
          <w:r w:rsidRPr="00A3418D">
            <w:t xml:space="preserve">Képes </w:t>
          </w:r>
          <w:r w:rsidRPr="007C6102">
            <w:t xml:space="preserve">alkalmazni </w:t>
          </w:r>
          <w:r>
            <w:t xml:space="preserve">építészeti és </w:t>
          </w:r>
          <w:r w:rsidRPr="007C6102">
            <w:t>geometriai ismereteit a</w:t>
          </w:r>
          <w:r>
            <w:t>z</w:t>
          </w:r>
          <w:r w:rsidRPr="007C6102">
            <w:t xml:space="preserve"> </w:t>
          </w:r>
          <w:r>
            <w:t>építészeti formák</w:t>
          </w:r>
          <w:r w:rsidRPr="007C6102">
            <w:t xml:space="preserve"> </w:t>
          </w:r>
          <w:r>
            <w:t>modellezése során</w:t>
          </w:r>
          <w:r w:rsidRPr="00A3418D">
            <w:t>;</w:t>
          </w:r>
        </w:p>
        <w:p w:rsidR="00304C47" w:rsidRDefault="00304C47" w:rsidP="00304C47">
          <w:pPr>
            <w:pStyle w:val="Heading4"/>
          </w:pPr>
          <w:r>
            <w:t xml:space="preserve">alkalmazni tudja </w:t>
          </w:r>
          <w:r w:rsidRPr="007C6102">
            <w:t>informatikai előismereteit</w:t>
          </w:r>
          <w:r>
            <w:t>;</w:t>
          </w:r>
        </w:p>
        <w:p w:rsidR="00304C47" w:rsidRPr="007C6102" w:rsidRDefault="00304C47" w:rsidP="00304C47">
          <w:pPr>
            <w:pStyle w:val="Heading4"/>
          </w:pPr>
          <w:r>
            <w:t>képes</w:t>
          </w:r>
          <w:r w:rsidRPr="00C77A3D">
            <w:t xml:space="preserve"> </w:t>
          </w:r>
          <w:r>
            <w:t>építészeti objektumok és parametrikus modellek készítésére;</w:t>
          </w:r>
        </w:p>
        <w:p w:rsidR="00304C47" w:rsidRDefault="00304C47" w:rsidP="00304C47">
          <w:pPr>
            <w:pStyle w:val="Heading4"/>
          </w:pPr>
          <w:r>
            <w:t>alkalmazni tudja térbeli konstrukciós képességét a virtuális térben;</w:t>
          </w:r>
        </w:p>
        <w:p w:rsidR="00E73573" w:rsidRPr="00304C47" w:rsidRDefault="00304C47" w:rsidP="00304C47">
          <w:pPr>
            <w:pStyle w:val="Heading4"/>
            <w:rPr>
              <w:lang w:eastAsia="en-GB"/>
            </w:rPr>
          </w:pPr>
          <w:r>
            <w:rPr>
              <w:lang w:eastAsia="en-GB"/>
            </w:rPr>
            <w:t xml:space="preserve">képes adott térbeli modellek programozott, </w:t>
          </w:r>
          <w:proofErr w:type="spellStart"/>
          <w:r>
            <w:rPr>
              <w:lang w:eastAsia="en-GB"/>
            </w:rPr>
            <w:t>újrahasznosítható</w:t>
          </w:r>
          <w:proofErr w:type="spellEnd"/>
          <w:r>
            <w:rPr>
              <w:lang w:eastAsia="en-GB"/>
            </w:rPr>
            <w:t>, ergonomikus kialakítására.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37D1C" w:rsidRPr="003E60ED" w:rsidRDefault="00C37D1C" w:rsidP="00C37D1C">
          <w:pPr>
            <w:pStyle w:val="Heading4"/>
          </w:pPr>
          <w:r w:rsidRPr="003E60ED">
            <w:t>Együttműködik az ismeretek bővítése során az oktatóval és hallgató társaival,</w:t>
          </w:r>
        </w:p>
        <w:p w:rsidR="00C37D1C" w:rsidRPr="003E60ED" w:rsidRDefault="00C37D1C" w:rsidP="00C37D1C">
          <w:pPr>
            <w:pStyle w:val="Heading4"/>
          </w:pPr>
          <w:r w:rsidRPr="003E60ED">
            <w:t>folyamatos ismeretszerzéssel bővíti tudását,</w:t>
          </w:r>
        </w:p>
        <w:p w:rsidR="00C37D1C" w:rsidRPr="003E60ED" w:rsidRDefault="00C37D1C" w:rsidP="00C37D1C">
          <w:pPr>
            <w:pStyle w:val="Heading4"/>
          </w:pPr>
          <w:r w:rsidRPr="003E60ED">
            <w:t>nyitott az információtechnológiai eszközök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műszaki problémamegoldáshoz szükséges eszközrendszer megismerésére és rutinszerű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pontos és hibamentes feladatmegoldásra,</w:t>
          </w:r>
        </w:p>
        <w:p w:rsidR="00E73573" w:rsidRPr="00D83A99" w:rsidRDefault="00C37D1C" w:rsidP="00D83A99">
          <w:pPr>
            <w:pStyle w:val="Heading4"/>
          </w:pPr>
          <w:r w:rsidRPr="003E60ED">
            <w:t>munkájában komplex módon alkalmazza a geometriai, informatikai, ill. építészeti előismereteit.</w:t>
          </w: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37D1C" w:rsidRDefault="00C37D1C" w:rsidP="00C37D1C">
          <w:pPr>
            <w:pStyle w:val="Heading4"/>
          </w:pPr>
          <w:r>
            <w:t xml:space="preserve">Önállóan végzi a tervezési feladatok és problémák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megoldását,</w:t>
          </w:r>
        </w:p>
        <w:p w:rsidR="00C37D1C" w:rsidRDefault="00C37D1C" w:rsidP="00C37D1C">
          <w:pPr>
            <w:pStyle w:val="Heading4"/>
          </w:pPr>
          <w:r>
            <w:t>nyitottan fogadja a megalapozott kritikai észrevételeket,</w:t>
          </w:r>
        </w:p>
        <w:p w:rsidR="00C37D1C" w:rsidRDefault="00C37D1C" w:rsidP="00C37D1C">
          <w:pPr>
            <w:pStyle w:val="Heading4"/>
          </w:pPr>
          <w:r>
            <w:t>egyes helyzetekben – csapat részeként – együttműködik hallgatótársaival a feladatok megoldásában,</w:t>
          </w:r>
        </w:p>
        <w:p w:rsidR="00E73573" w:rsidRPr="00C37D1C" w:rsidRDefault="00C37D1C" w:rsidP="00C37D1C">
          <w:pPr>
            <w:pStyle w:val="Heading4"/>
          </w:pPr>
          <w:r>
            <w:t>gondolkozásában a rendszerelvű megközelítést alkalmazza.</w:t>
          </w:r>
        </w:p>
      </w:sdtContent>
    </w:sdt>
    <w:p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3E60ED" w:rsidP="00CD3A57">
          <w:pPr>
            <w:pStyle w:val="adat"/>
          </w:pPr>
          <w:r>
            <w:t>Előadások</w:t>
          </w:r>
          <w:r w:rsidR="00234057" w:rsidRPr="00234057">
            <w:t xml:space="preserve">, kommunikáció írásban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304C47" w:rsidP="00B41C3B">
          <w:pPr>
            <w:pStyle w:val="adat"/>
          </w:pPr>
          <w:r w:rsidRPr="00CE09B3">
            <w:rPr>
              <w:rStyle w:val="PlaceholderText"/>
            </w:rPr>
            <w:t>Click here to enter text.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t>A tantárgy tematikája</w:t>
      </w:r>
    </w:p>
    <w:p w:rsidR="00942E3B" w:rsidRDefault="00942E3B" w:rsidP="00942E3B">
      <w:pPr>
        <w:pStyle w:val="Heading2"/>
      </w:pPr>
      <w:r>
        <w:t>Az előadások tematikája</w:t>
      </w:r>
    </w:p>
    <w:p w:rsidR="00942E3B" w:rsidRDefault="007F3EAC" w:rsidP="00AE7929">
      <w:pPr>
        <w:pStyle w:val="ListParagraph"/>
        <w:numPr>
          <w:ilvl w:val="0"/>
          <w:numId w:val="40"/>
        </w:numPr>
      </w:pPr>
      <w:r>
        <w:t>Nincs</w:t>
      </w:r>
    </w:p>
    <w:p w:rsidR="00942E3B" w:rsidRDefault="00942E3B" w:rsidP="00942E3B">
      <w:pPr>
        <w:pStyle w:val="Heading2"/>
      </w:pPr>
      <w:r>
        <w:lastRenderedPageBreak/>
        <w:t>A gyakorlatok tematikája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>Építészeti anyagtulajdonságok 3D szoftverekben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Építészeti anyagok rekonstruálása, egyedi anyagtulajdonságok és textúrák. 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Fizikai anyagok Arnold </w:t>
      </w:r>
      <w:proofErr w:type="spellStart"/>
      <w:r>
        <w:t>rendering</w:t>
      </w:r>
      <w:proofErr w:type="spellEnd"/>
      <w:r>
        <w:t xml:space="preserve">.. 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Világítás és képalkotás. 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Külső terek fizikai világítása, fizikai napfényrendszer alkalmazása benapozás vizsgálathoz. 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Belső terek fizikai megvilágítása. </w:t>
      </w:r>
    </w:p>
    <w:p w:rsidR="007F3EAC" w:rsidRDefault="007F3EAC" w:rsidP="007F3EAC">
      <w:pPr>
        <w:pStyle w:val="ListParagraph"/>
        <w:numPr>
          <w:ilvl w:val="0"/>
          <w:numId w:val="40"/>
        </w:numPr>
      </w:pPr>
      <w:r>
        <w:t xml:space="preserve">CAD integráció: CAD </w:t>
      </w:r>
      <w:proofErr w:type="spellStart"/>
      <w:r>
        <w:t>model</w:t>
      </w:r>
      <w:proofErr w:type="spellEnd"/>
      <w:r>
        <w:t xml:space="preserve"> részletek feldolgozása és importálása 3ds Max környezetbe. </w:t>
      </w:r>
    </w:p>
    <w:p w:rsidR="0030627E" w:rsidRDefault="007F3EAC" w:rsidP="007F3EAC">
      <w:pPr>
        <w:pStyle w:val="ListParagraph"/>
        <w:numPr>
          <w:ilvl w:val="0"/>
          <w:numId w:val="40"/>
        </w:numPr>
      </w:pPr>
      <w:r>
        <w:t xml:space="preserve">Kapcsolat </w:t>
      </w:r>
      <w:r w:rsidR="00814D89">
        <w:t xml:space="preserve">Az </w:t>
      </w:r>
      <w:proofErr w:type="spellStart"/>
      <w:r w:rsidR="00814D89">
        <w:t>Autodesk</w:t>
      </w:r>
      <w:proofErr w:type="spellEnd"/>
      <w:r w:rsidR="00814D89">
        <w:t xml:space="preserve"> </w:t>
      </w:r>
      <w:proofErr w:type="spellStart"/>
      <w:r>
        <w:t>Revit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, </w:t>
      </w:r>
      <w:proofErr w:type="spellStart"/>
      <w:r w:rsidR="00814D89">
        <w:t>Graphisoft</w:t>
      </w:r>
      <w:proofErr w:type="spellEnd"/>
      <w:r w:rsidR="00814D89">
        <w:t xml:space="preserve"> </w:t>
      </w:r>
      <w:proofErr w:type="spellStart"/>
      <w:r>
        <w:t>ArchiCAD</w:t>
      </w:r>
      <w:proofErr w:type="spellEnd"/>
      <w:r>
        <w:t xml:space="preserve"> és további alkalmazások között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113C5D" w:rsidRPr="004F575E" w:rsidRDefault="003E60ED" w:rsidP="00113C5D">
          <w:pPr>
            <w:pStyle w:val="Heading3"/>
          </w:pPr>
          <w:r w:rsidRPr="004F575E">
            <w:t xml:space="preserve">Az előadásokon </w:t>
          </w:r>
          <w:r w:rsidR="00113C5D" w:rsidRPr="004F575E">
            <w:t>való részvétel kötelező.</w:t>
          </w:r>
        </w:p>
        <w:p w:rsidR="00113C5D" w:rsidRPr="004F575E" w:rsidRDefault="00113C5D" w:rsidP="00113C5D">
          <w:pPr>
            <w:pStyle w:val="Heading3"/>
          </w:pPr>
          <w:r w:rsidRPr="004F575E">
            <w:t>A tanulási eredmények értékelésének alapja 3 házifeladat (részteljesítmény értékelés).</w:t>
          </w:r>
        </w:p>
        <w:p w:rsidR="00126AC7" w:rsidRPr="004F575E" w:rsidRDefault="00113C5D" w:rsidP="00D56799">
          <w:pPr>
            <w:pStyle w:val="Heading3"/>
            <w:rPr>
              <w:rFonts w:eastAsia="Times New Roman"/>
              <w:lang w:eastAsia="en-GB"/>
            </w:rPr>
          </w:pPr>
          <w:r w:rsidRPr="004F575E">
            <w:t>A teljesítményértékelések alapjául szolgáló tananyag a gyakorlatokon elhangzott ismeretek összessége.</w:t>
          </w:r>
        </w:p>
      </w:sdtContent>
    </w:sdt>
    <w:p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sdt>
          <w:sdtPr>
            <w:rPr>
              <w:rFonts w:eastAsiaTheme="minorHAnsi" w:cstheme="minorHAnsi"/>
              <w:szCs w:val="22"/>
            </w:rPr>
            <w:id w:val="2144152685"/>
            <w:placeholder>
              <w:docPart w:val="D737A32244AD493898778882AB8ECBB1"/>
            </w:placeholder>
            <w15:color w:val="C0C0C0"/>
          </w:sdtPr>
          <w:sdtEndPr>
            <w:rPr>
              <w:rFonts w:eastAsiaTheme="majorEastAsia" w:cstheme="majorBidi"/>
              <w:szCs w:val="24"/>
            </w:rPr>
          </w:sdtEndPr>
          <w:sdtContent>
            <w:p w:rsidR="00304C47" w:rsidRPr="00EF4B3B" w:rsidRDefault="00304C47" w:rsidP="00304C47">
              <w:pPr>
                <w:pStyle w:val="Heading3"/>
                <w:tabs>
                  <w:tab w:val="clear" w:pos="709"/>
                  <w:tab w:val="num" w:pos="852"/>
                </w:tabs>
                <w:ind w:left="852"/>
                <w:rPr>
                  <w:rFonts w:eastAsiaTheme="minorHAnsi" w:cs="Times New Roman"/>
                </w:rPr>
              </w:pPr>
              <w:r w:rsidRPr="00EF4B3B">
                <w:rPr>
                  <w:rFonts w:eastAsiaTheme="minorHAnsi"/>
                </w:rPr>
                <w:t>Részteljesítmény értékelés</w:t>
              </w:r>
              <w:r>
                <w:rPr>
                  <w:rFonts w:eastAsiaTheme="minorHAnsi"/>
                </w:rPr>
                <w:t>:</w:t>
              </w:r>
              <w:r w:rsidRPr="00EF4B3B">
                <w:rPr>
                  <w:rFonts w:eastAsiaTheme="minorHAnsi"/>
                </w:rPr>
                <w:t xml:space="preserve"> </w:t>
              </w:r>
              <w:r w:rsidRPr="00EF4B3B">
                <w:t xml:space="preserve">ezek kisebb feladatok, melyeket a gyakorlati órán </w:t>
              </w:r>
              <w:r>
                <w:t>kell</w:t>
              </w:r>
              <w:r w:rsidRPr="00EF4B3B">
                <w:t xml:space="preserve"> megoldani. Célszerűen a megoldások a gyakorlat végén beadhatók, illetve szükség esetén további munka végezhető rajtuk; utóbbi esetben a beadási határidő a gyakorlat végétől számított 48 óra.</w:t>
              </w:r>
            </w:p>
            <w:p w:rsidR="00304C47" w:rsidRPr="00330053" w:rsidRDefault="00304C47" w:rsidP="00304C47">
              <w:pPr>
                <w:pStyle w:val="Heading3"/>
                <w:tabs>
                  <w:tab w:val="clear" w:pos="709"/>
                  <w:tab w:val="num" w:pos="852"/>
                </w:tabs>
                <w:ind w:left="852"/>
              </w:pPr>
              <w:r w:rsidRPr="00EF4B3B">
                <w:rPr>
                  <w:rFonts w:eastAsiaTheme="minorHAnsi" w:cstheme="minorHAnsi"/>
                  <w:szCs w:val="22"/>
                </w:rPr>
                <w:t>Részteljesítmény értékelés  (</w:t>
              </w:r>
              <w:r>
                <w:rPr>
                  <w:rFonts w:eastAsiaTheme="minorHAnsi" w:cstheme="minorHAnsi"/>
                  <w:szCs w:val="22"/>
                </w:rPr>
                <w:t>házifeladat</w:t>
              </w:r>
              <w:r w:rsidRPr="00EF4B3B">
                <w:rPr>
                  <w:rFonts w:eastAsiaTheme="minorHAnsi" w:cstheme="minorHAnsi"/>
                  <w:szCs w:val="22"/>
                </w:rPr>
                <w:t xml:space="preserve">): A feladat célja </w:t>
              </w:r>
              <w:r>
                <w:t>a feladat egy működő, építészetileg értelmes, összetettebb paraméteres tárgy elkészítése.</w:t>
              </w:r>
            </w:p>
          </w:sdtContent>
        </w:sdt>
        <w:p w:rsidR="00261FF6" w:rsidRPr="00330053" w:rsidRDefault="004F575E" w:rsidP="00330053"/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>
        <w:rPr>
          <w:color w:val="FF0000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304C47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304C47" w:rsidRPr="00EF4B3B" w:rsidRDefault="00304C47" w:rsidP="00304C47">
                <w:pPr>
                  <w:pStyle w:val="adat"/>
                </w:pPr>
                <w:r w:rsidRPr="00EF4B3B">
                  <w:t>Részteljesítmény értékelés 1.</w:t>
                </w:r>
              </w:p>
              <w:p w:rsidR="00304C47" w:rsidRPr="00EF4B3B" w:rsidRDefault="00304C47" w:rsidP="00304C47">
                <w:pPr>
                  <w:pStyle w:val="adat"/>
                </w:pPr>
                <w:r w:rsidRPr="00EF4B3B">
                  <w:t>Részteljesítmény értékelés 2.</w:t>
                </w:r>
              </w:p>
              <w:p w:rsidR="00304C47" w:rsidRPr="00EF4B3B" w:rsidRDefault="00304C47" w:rsidP="00304C47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304C47" w:rsidRPr="00EF4B3B" w:rsidRDefault="00304C47" w:rsidP="00304C47">
                <w:pPr>
                  <w:pStyle w:val="adat"/>
                  <w:jc w:val="center"/>
                </w:pPr>
                <w:r w:rsidRPr="00EF4B3B">
                  <w:t>50%</w:t>
                </w:r>
              </w:p>
              <w:p w:rsidR="00304C47" w:rsidRPr="00EF4B3B" w:rsidRDefault="00304C47" w:rsidP="00304C47">
                <w:pPr>
                  <w:pStyle w:val="adat"/>
                  <w:jc w:val="center"/>
                </w:pPr>
                <w:r w:rsidRPr="00EF4B3B">
                  <w:t>50%</w:t>
                </w:r>
              </w:p>
              <w:p w:rsidR="00304C47" w:rsidRPr="00EF4B3B" w:rsidRDefault="00304C47" w:rsidP="00304C47">
                <w:pPr>
                  <w:pStyle w:val="adat"/>
                  <w:jc w:val="center"/>
                </w:pPr>
              </w:p>
            </w:tc>
          </w:tr>
          <w:tr w:rsidR="00304C47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304C47" w:rsidRPr="000D4AD4" w:rsidRDefault="00304C47" w:rsidP="00304C47">
                <w:pPr>
                  <w:pStyle w:val="adat"/>
                  <w:ind w:left="0"/>
                  <w:rPr>
                    <w:color w:val="FF0000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304C47" w:rsidRPr="000D4AD4" w:rsidRDefault="00304C47" w:rsidP="00304C47">
                <w:pPr>
                  <w:pStyle w:val="adat"/>
                  <w:jc w:val="center"/>
                  <w:rPr>
                    <w:color w:val="FF0000"/>
                  </w:rPr>
                </w:pPr>
              </w:p>
            </w:tc>
          </w:tr>
          <w:tr w:rsidR="00304C47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304C47" w:rsidRPr="00304C47" w:rsidRDefault="00304C47" w:rsidP="00304C47">
                <w:pPr>
                  <w:pStyle w:val="adatB"/>
                  <w:jc w:val="right"/>
                </w:pPr>
                <w:r w:rsidRPr="00304C47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304C47" w:rsidRPr="000D4AD4" w:rsidRDefault="00304C47" w:rsidP="00304C47">
                <w:pPr>
                  <w:pStyle w:val="adatB"/>
                  <w:jc w:val="center"/>
                  <w:rPr>
                    <w:color w:val="FF0000"/>
                  </w:rPr>
                </w:pPr>
                <w:r w:rsidRPr="00304C47">
                  <w:t>∑ 100%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113C5D" w:rsidRPr="00304C47" w:rsidRDefault="00024BCE" w:rsidP="00113C5D">
          <w:pPr>
            <w:pStyle w:val="Heading3"/>
          </w:pPr>
          <w:r>
            <w:t xml:space="preserve">A házifeladat az </w:t>
          </w:r>
          <w:r w:rsidR="00113C5D" w:rsidRPr="00304C47">
            <w:t>ütemtervben megadott határidőig pontlevonás nélkül és díjmentesen, kizárólag elektronikus formában adható be.</w:t>
          </w:r>
        </w:p>
        <w:p w:rsidR="00113C5D" w:rsidRPr="00304C47" w:rsidRDefault="00113C5D" w:rsidP="00113C5D">
          <w:pPr>
            <w:pStyle w:val="Heading3"/>
          </w:pPr>
          <w:r w:rsidRPr="00304C47">
            <w:t xml:space="preserve">A házifeladat – a hatályos </w:t>
          </w:r>
          <w:r w:rsidR="004F575E">
            <w:t xml:space="preserve">Térítési és Juttatási Szabályzat 4. sz. mellékletében </w:t>
          </w:r>
          <w:bookmarkStart w:id="2" w:name="_GoBack"/>
          <w:bookmarkEnd w:id="2"/>
          <w:r w:rsidRPr="00304C47">
            <w:t>meghatározott díj megfizetése mellett – késedelmesen a pótlási időszak utolsó napján 12:00 óráig elektronikus formában adható be.</w:t>
          </w:r>
        </w:p>
        <w:p w:rsidR="00113C5D" w:rsidRPr="00304C47" w:rsidRDefault="00113C5D" w:rsidP="00113C5D">
          <w:pPr>
            <w:pStyle w:val="Heading3"/>
          </w:pPr>
          <w:r w:rsidRPr="00304C47">
            <w:t xml:space="preserve">A beadott és elfogadott házi feladat a </w:t>
          </w:r>
          <w:r w:rsidR="00304C47">
            <w:t>TVSZ-ben</w:t>
          </w:r>
          <w:r w:rsidR="00304C47" w:rsidRPr="00EF4B3B">
            <w:t xml:space="preserve"> </w:t>
          </w:r>
          <w:r w:rsidRPr="00304C47">
            <w:t>megadott határidőig és módon javítható.</w:t>
          </w:r>
        </w:p>
        <w:p w:rsidR="002F23CE" w:rsidRDefault="004F575E" w:rsidP="00113C5D">
          <w:pPr>
            <w:pStyle w:val="Heading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4F575E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0D4AD4" w:rsidP="000D4AD4">
            <w:pPr>
              <w:pStyle w:val="adat"/>
            </w:pPr>
            <w:r>
              <w:t>félévközi készülés az órákra</w:t>
            </w:r>
          </w:p>
        </w:tc>
        <w:tc>
          <w:tcPr>
            <w:tcW w:w="3402" w:type="dxa"/>
            <w:vAlign w:val="center"/>
          </w:tcPr>
          <w:p w:rsidR="00CC694E" w:rsidRPr="003968BE" w:rsidRDefault="004F575E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4F575E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4F575E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4F575E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24BCE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F575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24BCE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4AD4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B4FC5"/>
    <w:rsid w:val="002C6D7E"/>
    <w:rsid w:val="002E22A3"/>
    <w:rsid w:val="002F23CE"/>
    <w:rsid w:val="002F47B8"/>
    <w:rsid w:val="00304C47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E60ED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75E"/>
    <w:rsid w:val="004F5BF5"/>
    <w:rsid w:val="00507A7F"/>
    <w:rsid w:val="005148AD"/>
    <w:rsid w:val="005161D3"/>
    <w:rsid w:val="00523354"/>
    <w:rsid w:val="00531115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A5375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3EAC"/>
    <w:rsid w:val="007F598C"/>
    <w:rsid w:val="008004E8"/>
    <w:rsid w:val="00804C40"/>
    <w:rsid w:val="00814D89"/>
    <w:rsid w:val="00816956"/>
    <w:rsid w:val="00817824"/>
    <w:rsid w:val="00821656"/>
    <w:rsid w:val="00822FBC"/>
    <w:rsid w:val="00823852"/>
    <w:rsid w:val="00836BFD"/>
    <w:rsid w:val="00841445"/>
    <w:rsid w:val="008427C0"/>
    <w:rsid w:val="0084280B"/>
    <w:rsid w:val="0084442B"/>
    <w:rsid w:val="00852EBB"/>
    <w:rsid w:val="008612B1"/>
    <w:rsid w:val="00872296"/>
    <w:rsid w:val="00885AD8"/>
    <w:rsid w:val="008A6E46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6567C"/>
    <w:rsid w:val="00B83161"/>
    <w:rsid w:val="00B926B2"/>
    <w:rsid w:val="00B92997"/>
    <w:rsid w:val="00BA777D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5C0F"/>
    <w:rsid w:val="00C37D1C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83A99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F06"/>
    <w:rsid w:val="00E73573"/>
    <w:rsid w:val="00EA1044"/>
    <w:rsid w:val="00EB1EBF"/>
    <w:rsid w:val="00EB656E"/>
    <w:rsid w:val="00EC0ED8"/>
    <w:rsid w:val="00EF6BD6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737A32244AD493898778882AB8E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ADB5-86C0-4828-8640-DAE9403A2A7D}"/>
      </w:docPartPr>
      <w:docPartBody>
        <w:p w:rsidR="00FC5185" w:rsidRDefault="00E83629" w:rsidP="00E83629">
          <w:pPr>
            <w:pStyle w:val="D737A32244AD493898778882AB8ECBB1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514CC7"/>
    <w:rsid w:val="0073742A"/>
    <w:rsid w:val="00856078"/>
    <w:rsid w:val="00982473"/>
    <w:rsid w:val="00A6731A"/>
    <w:rsid w:val="00E83629"/>
    <w:rsid w:val="00EC5953"/>
    <w:rsid w:val="00FA3D6C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629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  <w:style w:type="paragraph" w:customStyle="1" w:styleId="D737A32244AD493898778882AB8ECBB1">
    <w:name w:val="D737A32244AD493898778882AB8ECBB1"/>
    <w:rsid w:val="00E8362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1088-AB71-41CF-99EC-9C2D6FF0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787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23</cp:revision>
  <cp:lastPrinted>2016-04-18T11:21:00Z</cp:lastPrinted>
  <dcterms:created xsi:type="dcterms:W3CDTF">2018-04-11T12:57:00Z</dcterms:created>
  <dcterms:modified xsi:type="dcterms:W3CDTF">2018-05-24T08:53:00Z</dcterms:modified>
</cp:coreProperties>
</file>